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top"/>
          </w:tcPr>
          <w:p>
            <w:pPr>
              <w:jc w:val="center"/>
              <w:rPr>
                <w:rFonts w:hint="eastAsia" w:ascii="宋体" w:hAnsi="宋体" w:cs="宋体"/>
                <w:b/>
              </w:rPr>
            </w:pPr>
            <w:bookmarkStart w:id="1" w:name="_GoBack"/>
            <w:bookmarkEnd w:id="1"/>
            <w:r>
              <w:rPr>
                <w:rFonts w:hint="eastAsia" w:ascii="宋体" w:hAnsi="宋体" w:cs="宋体"/>
                <w:b/>
                <w:kern w:val="0"/>
                <w:sz w:val="32"/>
                <w:szCs w:val="32"/>
              </w:rPr>
              <w:t>一般公共预算财政拨款“三公”经费支出决算表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noWrap w:val="0"/>
            <w:vAlign w:val="top"/>
          </w:tcPr>
          <w:p>
            <w:pPr>
              <w:spacing w:line="288" w:lineRule="auto"/>
              <w:rPr>
                <w:rFonts w:hint="eastAsia" w:ascii="宋体" w:hAnsi="宋体" w:cs="宋体"/>
                <w:sz w:val="28"/>
                <w:szCs w:val="28"/>
              </w:rPr>
            </w:pPr>
            <w:r>
              <w:rPr>
                <w:rFonts w:hint="eastAsia" w:ascii="宋体" w:hAnsi="宋体" w:cs="宋体"/>
                <w:kern w:val="0"/>
                <w:sz w:val="20"/>
                <w:szCs w:val="20"/>
              </w:rPr>
              <w:t>部门：</w:t>
            </w:r>
            <w:bookmarkStart w:id="0" w:name="PO_part2Table7DivName1"/>
            <w:r>
              <w:rPr>
                <w:rFonts w:hint="eastAsia" w:ascii="宋体" w:hAnsi="宋体" w:cs="宋体"/>
                <w:kern w:val="0"/>
                <w:sz w:val="20"/>
                <w:szCs w:val="20"/>
              </w:rPr>
              <w:t xml:space="preserve"> </w:t>
            </w:r>
            <w:r>
              <w:rPr>
                <w:rFonts w:hint="eastAsia" w:ascii="宋体" w:hAnsi="宋体" w:cs="宋体"/>
                <w:kern w:val="0"/>
                <w:sz w:val="20"/>
                <w:szCs w:val="20"/>
                <w:lang w:val="en-US" w:eastAsia="zh-CN"/>
              </w:rPr>
              <w:t>茂名市地震局</w:t>
            </w:r>
            <w:r>
              <w:rPr>
                <w:rFonts w:hint="eastAsia" w:ascii="宋体" w:hAnsi="宋体" w:cs="宋体"/>
                <w:kern w:val="0"/>
                <w:sz w:val="20"/>
                <w:szCs w:val="20"/>
              </w:rPr>
              <w:t xml:space="preserve"> </w:t>
            </w:r>
            <w:bookmarkEnd w:id="0"/>
          </w:p>
        </w:tc>
        <w:tc>
          <w:tcPr>
            <w:tcW w:w="3535" w:type="dxa"/>
            <w:gridSpan w:val="3"/>
            <w:tcBorders>
              <w:top w:val="nil"/>
              <w:left w:val="nil"/>
              <w:bottom w:val="single" w:color="auto" w:sz="4" w:space="0"/>
              <w:right w:val="nil"/>
            </w:tcBorders>
            <w:noWrap w:val="0"/>
            <w:vAlign w:val="top"/>
          </w:tcPr>
          <w:p>
            <w:pPr>
              <w:jc w:val="right"/>
              <w:rPr>
                <w:rFonts w:hint="eastAsia" w:ascii="宋体" w:hAnsi="宋体" w:cs="宋体"/>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noWrap w:val="0"/>
            <w:vAlign w:val="top"/>
          </w:tcPr>
          <w:p>
            <w:pPr>
              <w:jc w:val="center"/>
              <w:rPr>
                <w:rFonts w:hint="eastAsia"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noWrap w:val="0"/>
            <w:vAlign w:val="top"/>
          </w:tcPr>
          <w:p>
            <w:pPr>
              <w:jc w:val="center"/>
              <w:rPr>
                <w:rFonts w:hint="eastAsia" w:ascii="宋体" w:hAnsi="宋体" w:cs="宋体"/>
                <w:szCs w:val="21"/>
              </w:rPr>
            </w:pPr>
            <w:r>
              <w:rPr>
                <w:rFonts w:hint="eastAsia" w:ascii="宋体" w:hAnsi="宋体" w:cs="宋体"/>
                <w:kern w:val="0"/>
                <w:szCs w:val="21"/>
              </w:rPr>
              <w:t>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183" w:type="dxa"/>
            <w:vMerge w:val="restart"/>
            <w:noWrap w:val="0"/>
            <w:vAlign w:val="center"/>
          </w:tcPr>
          <w:p>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top"/>
          </w:tcPr>
          <w:p>
            <w:pPr>
              <w:jc w:val="center"/>
              <w:rPr>
                <w:rFonts w:hint="eastAsia" w:ascii="宋体" w:hAnsi="宋体" w:cs="宋体"/>
                <w:szCs w:val="21"/>
              </w:rPr>
            </w:pPr>
            <w:r>
              <w:rPr>
                <w:rFonts w:hint="eastAsia" w:ascii="宋体" w:hAnsi="宋体" w:cs="宋体"/>
                <w:kern w:val="0"/>
                <w:szCs w:val="21"/>
              </w:rPr>
              <w:t>公务用车购置及运行费</w:t>
            </w:r>
          </w:p>
        </w:tc>
        <w:tc>
          <w:tcPr>
            <w:tcW w:w="1182" w:type="dxa"/>
            <w:vMerge w:val="restart"/>
            <w:noWrap w:val="0"/>
            <w:vAlign w:val="center"/>
          </w:tcPr>
          <w:p>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top"/>
          </w:tcPr>
          <w:p>
            <w:pPr>
              <w:jc w:val="center"/>
              <w:rPr>
                <w:rFonts w:hint="eastAsia" w:ascii="宋体" w:hAnsi="宋体" w:cs="宋体"/>
                <w:szCs w:val="21"/>
              </w:rPr>
            </w:pPr>
            <w:r>
              <w:rPr>
                <w:rFonts w:hint="eastAsia" w:ascii="宋体" w:hAnsi="宋体" w:cs="宋体"/>
                <w:kern w:val="0"/>
                <w:szCs w:val="21"/>
              </w:rPr>
              <w:t>公务用车购置及运行费</w:t>
            </w:r>
          </w:p>
        </w:tc>
        <w:tc>
          <w:tcPr>
            <w:tcW w:w="1171" w:type="dxa"/>
            <w:vMerge w:val="restart"/>
            <w:noWrap w:val="0"/>
            <w:vAlign w:val="center"/>
          </w:tcPr>
          <w:p>
            <w:pPr>
              <w:jc w:val="center"/>
              <w:rPr>
                <w:rFonts w:hint="eastAsia" w:ascii="宋体" w:hAnsi="宋体" w:cs="宋体"/>
                <w:szCs w:val="21"/>
              </w:rPr>
            </w:pPr>
            <w:r>
              <w:rPr>
                <w:rFonts w:hint="eastAsia" w:ascii="宋体" w:hAnsi="宋体" w:cs="宋体"/>
                <w:kern w:val="0"/>
                <w:szCs w:val="21"/>
              </w:rPr>
              <w:t>公务接待费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183" w:type="dxa"/>
            <w:vMerge w:val="continue"/>
            <w:noWrap w:val="0"/>
            <w:vAlign w:val="top"/>
          </w:tcPr>
          <w:p>
            <w:pPr>
              <w:spacing w:line="288" w:lineRule="auto"/>
              <w:rPr>
                <w:rFonts w:hint="eastAsia" w:ascii="宋体" w:hAnsi="宋体" w:cs="宋体"/>
                <w:szCs w:val="21"/>
              </w:rPr>
            </w:pPr>
          </w:p>
        </w:tc>
        <w:tc>
          <w:tcPr>
            <w:tcW w:w="1182" w:type="dxa"/>
            <w:vMerge w:val="continue"/>
            <w:noWrap w:val="0"/>
            <w:vAlign w:val="top"/>
          </w:tcPr>
          <w:p>
            <w:pPr>
              <w:spacing w:line="288" w:lineRule="auto"/>
              <w:rPr>
                <w:rFonts w:hint="eastAsia" w:ascii="宋体" w:hAnsi="宋体" w:cs="宋体"/>
                <w:szCs w:val="21"/>
              </w:rPr>
            </w:pP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运行费</w:t>
            </w:r>
          </w:p>
        </w:tc>
        <w:tc>
          <w:tcPr>
            <w:tcW w:w="1182" w:type="dxa"/>
            <w:vMerge w:val="continue"/>
            <w:noWrap w:val="0"/>
            <w:vAlign w:val="top"/>
          </w:tcPr>
          <w:p>
            <w:pPr>
              <w:spacing w:line="288" w:lineRule="auto"/>
              <w:rPr>
                <w:rFonts w:hint="eastAsia" w:ascii="宋体" w:hAnsi="宋体" w:cs="宋体"/>
                <w:szCs w:val="21"/>
              </w:rPr>
            </w:pPr>
          </w:p>
        </w:tc>
        <w:tc>
          <w:tcPr>
            <w:tcW w:w="1182" w:type="dxa"/>
            <w:vMerge w:val="continue"/>
            <w:noWrap w:val="0"/>
            <w:vAlign w:val="top"/>
          </w:tcPr>
          <w:p>
            <w:pPr>
              <w:spacing w:line="288" w:lineRule="auto"/>
              <w:rPr>
                <w:rFonts w:hint="eastAsia" w:ascii="宋体" w:hAnsi="宋体" w:cs="宋体"/>
                <w:szCs w:val="21"/>
              </w:rPr>
            </w:pPr>
          </w:p>
        </w:tc>
        <w:tc>
          <w:tcPr>
            <w:tcW w:w="1182" w:type="dxa"/>
            <w:vMerge w:val="continue"/>
            <w:noWrap w:val="0"/>
            <w:vAlign w:val="top"/>
          </w:tcPr>
          <w:p>
            <w:pPr>
              <w:spacing w:line="288" w:lineRule="auto"/>
              <w:rPr>
                <w:rFonts w:hint="eastAsia" w:ascii="宋体" w:hAnsi="宋体" w:cs="宋体"/>
                <w:szCs w:val="21"/>
              </w:rPr>
            </w:pP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运行费</w:t>
            </w:r>
          </w:p>
        </w:tc>
        <w:tc>
          <w:tcPr>
            <w:tcW w:w="1171" w:type="dxa"/>
            <w:vMerge w:val="continue"/>
            <w:noWrap w:val="0"/>
            <w:vAlign w:val="top"/>
          </w:tcPr>
          <w:p>
            <w:pPr>
              <w:spacing w:line="288" w:lineRule="auto"/>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183"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pPr>
              <w:widowControl/>
              <w:jc w:val="center"/>
              <w:rPr>
                <w:rFonts w:hint="eastAsia" w:ascii="宋体" w:hAnsi="宋体" w:cs="宋体"/>
                <w:kern w:val="0"/>
                <w:szCs w:val="21"/>
              </w:rPr>
            </w:pPr>
            <w:r>
              <w:rPr>
                <w:rFonts w:hint="eastAsia" w:ascii="宋体" w:hAnsi="宋体" w:cs="宋体"/>
                <w:kern w:val="0"/>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1183" w:type="dxa"/>
            <w:noWrap w:val="0"/>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3.90</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3.00</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3.00</w:t>
            </w:r>
          </w:p>
        </w:tc>
        <w:tc>
          <w:tcPr>
            <w:tcW w:w="1182" w:type="dxa"/>
            <w:noWrap w:val="0"/>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0.9</w:t>
            </w:r>
          </w:p>
        </w:tc>
        <w:tc>
          <w:tcPr>
            <w:tcW w:w="1182" w:type="dxa"/>
            <w:noWrap w:val="0"/>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1.81</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1.68</w:t>
            </w:r>
          </w:p>
        </w:tc>
        <w:tc>
          <w:tcPr>
            <w:tcW w:w="1182" w:type="dxa"/>
            <w:noWrap w:val="0"/>
            <w:vAlign w:val="center"/>
          </w:tcPr>
          <w:p>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1.68</w:t>
            </w:r>
          </w:p>
        </w:tc>
        <w:tc>
          <w:tcPr>
            <w:tcW w:w="1171" w:type="dxa"/>
            <w:noWrap w:val="0"/>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0.13</w:t>
            </w:r>
          </w:p>
        </w:tc>
      </w:tr>
    </w:tbl>
    <w:p>
      <w:pPr>
        <w:spacing w:line="288" w:lineRule="auto"/>
        <w:rPr>
          <w:rFonts w:hint="eastAsia" w:ascii="宋体" w:hAnsi="宋体" w:cs="宋体"/>
          <w:sz w:val="28"/>
          <w:szCs w:val="28"/>
        </w:rPr>
      </w:pPr>
      <w:r>
        <w:rPr>
          <w:rFonts w:hint="eastAsia" w:ascii="宋体" w:hAnsi="宋体" w:cs="宋体"/>
          <w:szCs w:val="21"/>
        </w:rPr>
        <w:t>注：本表反映部门本年度财政拨款“三公”经费支出情况。其中，预算数为“三公”经费年初预算数，决算数是包括当年一般公共预算财政拨款和以前年度结转资金安排的实际支出。</w:t>
      </w:r>
      <w:r>
        <w:rPr>
          <w:rFonts w:hint="eastAsia" w:ascii="宋体" w:hAnsi="宋体" w:cs="宋体"/>
          <w:szCs w:val="21"/>
          <w:lang w:eastAsia="zh-CN"/>
        </w:rPr>
        <w:t>本表金额转换为万元时，因四舍五入可能存在尾差。</w:t>
      </w:r>
      <w:r>
        <w:rPr>
          <w:rFonts w:hint="eastAsia" w:ascii="宋体" w:hAnsi="宋体" w:cs="宋体"/>
          <w:sz w:val="28"/>
          <w:szCs w:val="28"/>
        </w:rPr>
        <w:t xml:space="preserve"> </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84624E"/>
    <w:rsid w:val="36846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市应急管理局</Company>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2020-09-27T09:52:00Z</dcterms:created>
  <dc:creator>Bc</dc:creator>
  <cp:lastModifiedBy>Bc</cp:lastModifiedBy>
  <dcterms:modified xsi:type="dcterms:W3CDTF">2020-09-27T09:54:32Z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