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119" w:rsidRPr="00771ED1" w:rsidRDefault="00B63119" w:rsidP="00B63119">
      <w:pPr>
        <w:spacing w:line="340" w:lineRule="exact"/>
        <w:rPr>
          <w:rFonts w:ascii="方正书宋简体" w:eastAsia="方正书宋简体"/>
          <w:color w:val="000000" w:themeColor="text1"/>
          <w:szCs w:val="21"/>
        </w:rPr>
      </w:pPr>
      <w:r w:rsidRPr="00771ED1">
        <w:rPr>
          <w:rFonts w:ascii="方正书宋简体" w:eastAsia="方正书宋简体" w:hint="eastAsia"/>
          <w:color w:val="000000" w:themeColor="text1"/>
          <w:szCs w:val="21"/>
        </w:rPr>
        <w:t>付，因此视为负生产税，包括政策性亏损补贴、价格补贴等。</w:t>
      </w:r>
    </w:p>
    <w:p w:rsidR="00B63119" w:rsidRPr="00771ED1" w:rsidRDefault="00B63119" w:rsidP="00B63119">
      <w:pPr>
        <w:spacing w:line="340" w:lineRule="exact"/>
        <w:rPr>
          <w:rFonts w:ascii="方正书宋简体" w:eastAsia="方正书宋简体"/>
          <w:color w:val="000000" w:themeColor="text1"/>
          <w:szCs w:val="21"/>
        </w:rPr>
      </w:pPr>
      <w:r w:rsidRPr="00771ED1">
        <w:rPr>
          <w:rFonts w:ascii="方正书宋简体" w:eastAsia="方正书宋简体" w:hint="eastAsia"/>
          <w:b/>
          <w:color w:val="000000" w:themeColor="text1"/>
          <w:szCs w:val="21"/>
        </w:rPr>
        <w:t>固定资产折旧</w:t>
      </w:r>
      <w:r w:rsidRPr="00771ED1">
        <w:rPr>
          <w:rFonts w:ascii="方正书宋简体" w:eastAsia="方正书宋简体" w:hint="eastAsia"/>
          <w:color w:val="000000" w:themeColor="text1"/>
          <w:szCs w:val="21"/>
        </w:rPr>
        <w:t xml:space="preserve">  指一定时期内为弥补固定资产损耗按照规定的固定资产折旧率提取的固定资产折旧，或按国民经济核算统一规定的折旧率虚拟计算的固定资产折旧。它反映了固定资产在当期生产中的转移价值。各类企业和企业化管理的事业单位的固定资产折旧是指实际计提的折旧费；不计提折旧的政府机关、非企业化管理的事业单位和居民住房的固定资产折旧是按照统一规定的折旧率和固定资产原值计算的虚拟折旧。原则上，固定资产折旧应按固定资产的重置价值计算，但是目前我国尚不具备对全社会固定资产进行重估价的基础，所以暂时还不能采用这种办法。</w:t>
      </w:r>
    </w:p>
    <w:p w:rsidR="00B63119" w:rsidRPr="00771ED1" w:rsidRDefault="00B63119" w:rsidP="00B63119">
      <w:pPr>
        <w:spacing w:line="340" w:lineRule="exact"/>
        <w:rPr>
          <w:rFonts w:ascii="方正书宋简体" w:eastAsia="方正书宋简体"/>
          <w:color w:val="000000" w:themeColor="text1"/>
          <w:szCs w:val="21"/>
        </w:rPr>
      </w:pPr>
      <w:r w:rsidRPr="00771ED1">
        <w:rPr>
          <w:rFonts w:ascii="方正书宋简体" w:eastAsia="方正书宋简体" w:hint="eastAsia"/>
          <w:b/>
          <w:color w:val="000000" w:themeColor="text1"/>
          <w:szCs w:val="21"/>
        </w:rPr>
        <w:t>营业盈余</w:t>
      </w:r>
      <w:r w:rsidRPr="00771ED1">
        <w:rPr>
          <w:rFonts w:ascii="方正书宋简体" w:eastAsia="方正书宋简体" w:hint="eastAsia"/>
          <w:color w:val="000000" w:themeColor="text1"/>
          <w:szCs w:val="21"/>
        </w:rPr>
        <w:t xml:space="preserve">  指常住单位创造的增加值扣除劳动者报酬、生产税净额和固定资产折旧后的余额。它相当于企业的营业利润加上生产税补贴，但要扣除从利润中开支的工资和福利等。</w:t>
      </w:r>
    </w:p>
    <w:p w:rsidR="00B63119" w:rsidRPr="00771ED1" w:rsidRDefault="00B63119" w:rsidP="00B63119">
      <w:pPr>
        <w:spacing w:line="340" w:lineRule="exact"/>
        <w:rPr>
          <w:rFonts w:ascii="方正书宋简体" w:eastAsia="方正书宋简体"/>
          <w:color w:val="000000" w:themeColor="text1"/>
          <w:szCs w:val="21"/>
        </w:rPr>
      </w:pPr>
      <w:r w:rsidRPr="00771ED1">
        <w:rPr>
          <w:rFonts w:ascii="方正书宋简体" w:eastAsia="方正书宋简体" w:hint="eastAsia"/>
          <w:b/>
          <w:color w:val="000000" w:themeColor="text1"/>
          <w:szCs w:val="21"/>
        </w:rPr>
        <w:t>三次产业</w:t>
      </w:r>
      <w:r w:rsidRPr="00771ED1">
        <w:rPr>
          <w:rFonts w:ascii="方正书宋简体" w:eastAsia="方正书宋简体" w:hint="eastAsia"/>
          <w:color w:val="000000" w:themeColor="text1"/>
          <w:szCs w:val="21"/>
        </w:rPr>
        <w:t xml:space="preserve">  根据社会生产活动历史发展的顺序对产业结构的划分，产品直接取自自然界的部门称为第一产业，初级产品进行再加工的部门称为第二产业，为生产和消费提供各种服务的部门称为第三产业。它是世界上通用的产业结构分类，但各国的划分不尽一致。我国的三次产业划分是：</w:t>
      </w:r>
    </w:p>
    <w:p w:rsidR="00B63119" w:rsidRPr="00771ED1" w:rsidRDefault="00B63119" w:rsidP="00B63119">
      <w:pPr>
        <w:spacing w:line="340" w:lineRule="exact"/>
        <w:rPr>
          <w:rFonts w:ascii="方正书宋简体" w:eastAsia="方正书宋简体"/>
          <w:color w:val="000000" w:themeColor="text1"/>
          <w:szCs w:val="21"/>
        </w:rPr>
      </w:pPr>
      <w:r w:rsidRPr="00771ED1">
        <w:rPr>
          <w:rFonts w:ascii="方正书宋简体" w:eastAsia="方正书宋简体" w:hint="eastAsia"/>
          <w:color w:val="000000" w:themeColor="text1"/>
          <w:szCs w:val="21"/>
        </w:rPr>
        <w:t xml:space="preserve">    第一产业是指农、林、牧、渔业（不含农、林、牧、渔服务业）。</w:t>
      </w:r>
    </w:p>
    <w:p w:rsidR="00B63119" w:rsidRPr="00771ED1" w:rsidRDefault="00B63119" w:rsidP="00B63119">
      <w:pPr>
        <w:spacing w:line="340" w:lineRule="exact"/>
        <w:rPr>
          <w:rFonts w:ascii="方正书宋简体" w:eastAsia="方正书宋简体"/>
          <w:color w:val="000000" w:themeColor="text1"/>
          <w:szCs w:val="21"/>
        </w:rPr>
      </w:pPr>
      <w:r w:rsidRPr="00771ED1">
        <w:rPr>
          <w:rFonts w:ascii="方正书宋简体" w:eastAsia="方正书宋简体" w:hint="eastAsia"/>
          <w:color w:val="000000" w:themeColor="text1"/>
          <w:szCs w:val="21"/>
        </w:rPr>
        <w:t xml:space="preserve">    第二产业是指采矿业（不含开采辅助活动），制造业（不含金属制品、机械和设备修理业），电力、燃气及水的生产和供应业，建筑业。</w:t>
      </w:r>
    </w:p>
    <w:p w:rsidR="00B63119" w:rsidRPr="00771ED1" w:rsidRDefault="00B63119" w:rsidP="00B63119">
      <w:pPr>
        <w:spacing w:line="340" w:lineRule="exact"/>
        <w:ind w:firstLine="420"/>
        <w:rPr>
          <w:rFonts w:ascii="方正书宋简体" w:eastAsia="方正书宋简体"/>
          <w:color w:val="000000" w:themeColor="text1"/>
          <w:szCs w:val="21"/>
        </w:rPr>
      </w:pPr>
      <w:r w:rsidRPr="00771ED1">
        <w:rPr>
          <w:rFonts w:ascii="方正书宋简体" w:eastAsia="方正书宋简体" w:hint="eastAsia"/>
          <w:color w:val="000000" w:themeColor="text1"/>
          <w:szCs w:val="21"/>
        </w:rPr>
        <w:t>第三产业是指除第一、二产业以外的其他行业。第三产业包括：交通运输、仓储和邮政业，信息传输、计算机，服务和软件业，批发和零售业，住宿和餐饮业，金融业，房地产业，租赁和商务服务业，科学研究、技术服务和地质勘查业，水利、环境和公共设施管理业，居民服务和其他服务业，教育，卫生、社会保障和社会福利业，文化、体育和娱乐业，公共管理和社会组织，国际组织，以及农、林、牧、渔业中的农、林、牧、渔服务业，采矿业中的开采辅助活动，制造业中的金属制造、机械和设备修理业。</w:t>
      </w:r>
    </w:p>
    <w:p w:rsidR="00B63119" w:rsidRPr="00771ED1" w:rsidRDefault="00B63119" w:rsidP="00B63119">
      <w:pPr>
        <w:spacing w:line="340" w:lineRule="exact"/>
        <w:ind w:firstLineChars="200" w:firstLine="420"/>
        <w:rPr>
          <w:rFonts w:ascii="方正书宋简体" w:eastAsia="方正书宋简体"/>
          <w:color w:val="000000" w:themeColor="text1"/>
          <w:szCs w:val="21"/>
        </w:rPr>
      </w:pPr>
      <w:r w:rsidRPr="00771ED1">
        <w:rPr>
          <w:rFonts w:ascii="方正书宋简体" w:eastAsia="方正书宋简体" w:hint="eastAsia"/>
          <w:b/>
          <w:color w:val="000000" w:themeColor="text1"/>
          <w:szCs w:val="21"/>
        </w:rPr>
        <w:t>总人口</w:t>
      </w:r>
      <w:r w:rsidRPr="00771ED1">
        <w:rPr>
          <w:rFonts w:ascii="方正书宋简体" w:eastAsia="方正书宋简体" w:hint="eastAsia"/>
          <w:color w:val="000000" w:themeColor="text1"/>
          <w:szCs w:val="21"/>
        </w:rPr>
        <w:t xml:space="preserve">  指一定时点、一定地区范围内有生命的个人的总和。按不同的统计范围可分为常住人口和户籍人口；统计时点通常为每年12月31日24时。</w:t>
      </w:r>
    </w:p>
    <w:p w:rsidR="00B63119" w:rsidRPr="00771ED1" w:rsidRDefault="00B63119" w:rsidP="00B63119">
      <w:pPr>
        <w:spacing w:line="340" w:lineRule="exact"/>
        <w:rPr>
          <w:rFonts w:ascii="方正书宋简体" w:eastAsia="方正书宋简体"/>
          <w:color w:val="000000" w:themeColor="text1"/>
          <w:szCs w:val="21"/>
        </w:rPr>
      </w:pPr>
      <w:r w:rsidRPr="00771ED1">
        <w:rPr>
          <w:rFonts w:ascii="方正书宋简体" w:eastAsia="方正书宋简体" w:hint="eastAsia"/>
          <w:color w:val="000000" w:themeColor="text1"/>
          <w:szCs w:val="21"/>
        </w:rPr>
        <w:t xml:space="preserve">    0-14岁人口比例（少年儿童人口系数或少年儿童人口比例）指0-14岁的少年儿童人口与同期总人口之比，反映人口的年龄结构特征。通常以百分比表示。</w:t>
      </w:r>
    </w:p>
    <w:p w:rsidR="00B63119" w:rsidRPr="00771ED1" w:rsidRDefault="00B63119" w:rsidP="00B63119">
      <w:pPr>
        <w:spacing w:line="340" w:lineRule="exact"/>
        <w:rPr>
          <w:rFonts w:ascii="方正书宋简体" w:eastAsia="方正书宋简体"/>
          <w:color w:val="000000" w:themeColor="text1"/>
          <w:szCs w:val="21"/>
        </w:rPr>
      </w:pPr>
      <w:r w:rsidRPr="00771ED1">
        <w:rPr>
          <w:rFonts w:ascii="方正书宋简体" w:eastAsia="方正书宋简体" w:hint="eastAsia"/>
          <w:color w:val="000000" w:themeColor="text1"/>
          <w:szCs w:val="21"/>
        </w:rPr>
        <w:t xml:space="preserve">    15-64岁人口比例（成年人口系数或成年人口比例）指15-64岁的成年人口与同期总人口之比，反映人口的年龄结构特征。通常以百分比表示。</w:t>
      </w:r>
    </w:p>
    <w:p w:rsidR="00B63119" w:rsidRPr="00771ED1" w:rsidRDefault="00B63119" w:rsidP="00B63119">
      <w:pPr>
        <w:spacing w:line="340" w:lineRule="exact"/>
        <w:rPr>
          <w:rFonts w:ascii="方正书宋简体" w:eastAsia="方正书宋简体"/>
          <w:color w:val="000000" w:themeColor="text1"/>
          <w:szCs w:val="21"/>
        </w:rPr>
      </w:pPr>
      <w:r w:rsidRPr="00771ED1">
        <w:rPr>
          <w:rFonts w:ascii="方正书宋简体" w:eastAsia="方正书宋简体" w:hint="eastAsia"/>
          <w:color w:val="000000" w:themeColor="text1"/>
          <w:szCs w:val="21"/>
        </w:rPr>
        <w:t xml:space="preserve">    65岁及以上人口比例（老年人口系数或老年人口比例）指65岁及以上的老年人口与同期总人口之比，反映人口的老龄化程度。通常以百分比表示。</w:t>
      </w:r>
    </w:p>
    <w:p w:rsidR="00B63119" w:rsidRPr="00771ED1" w:rsidRDefault="00B63119" w:rsidP="00B63119">
      <w:pPr>
        <w:spacing w:line="340" w:lineRule="exact"/>
        <w:rPr>
          <w:rFonts w:ascii="方正书宋简体" w:eastAsia="方正书宋简体"/>
          <w:color w:val="000000" w:themeColor="text1"/>
          <w:szCs w:val="21"/>
        </w:rPr>
      </w:pPr>
      <w:r w:rsidRPr="00771ED1">
        <w:rPr>
          <w:rFonts w:ascii="方正书宋简体" w:eastAsia="方正书宋简体" w:hint="eastAsia"/>
          <w:b/>
          <w:color w:val="000000" w:themeColor="text1"/>
          <w:szCs w:val="21"/>
        </w:rPr>
        <w:t>城镇人口比例</w:t>
      </w:r>
      <w:r w:rsidRPr="00771ED1">
        <w:rPr>
          <w:rFonts w:ascii="方正书宋简体" w:eastAsia="方正书宋简体" w:hint="eastAsia"/>
          <w:color w:val="000000" w:themeColor="text1"/>
          <w:szCs w:val="21"/>
        </w:rPr>
        <w:t xml:space="preserve">  指城镇人口与同期总人口之比，反映该区域人口的城镇化水平。通常以百分比表示。</w:t>
      </w:r>
    </w:p>
    <w:p w:rsidR="00F22109" w:rsidRPr="00771ED1" w:rsidRDefault="00B63119" w:rsidP="00B63119">
      <w:pPr>
        <w:spacing w:line="340" w:lineRule="exact"/>
        <w:jc w:val="distribute"/>
        <w:rPr>
          <w:color w:val="000000" w:themeColor="text1"/>
        </w:rPr>
      </w:pPr>
      <w:r w:rsidRPr="00771ED1">
        <w:rPr>
          <w:rFonts w:ascii="方正书宋简体" w:eastAsia="方正书宋简体" w:hint="eastAsia"/>
          <w:b/>
          <w:color w:val="000000" w:themeColor="text1"/>
          <w:szCs w:val="21"/>
        </w:rPr>
        <w:t>非农业人口</w:t>
      </w:r>
      <w:r w:rsidRPr="00771ED1">
        <w:rPr>
          <w:rFonts w:ascii="方正书宋简体" w:eastAsia="方正书宋简体" w:hint="eastAsia"/>
          <w:color w:val="000000" w:themeColor="text1"/>
          <w:szCs w:val="21"/>
        </w:rPr>
        <w:t xml:space="preserve">  指按常住户口性质划分的人口。具体为：（1）设区市的市区和</w:t>
      </w:r>
      <w:bookmarkStart w:id="0" w:name="_GoBack"/>
      <w:bookmarkEnd w:id="0"/>
      <w:r w:rsidRPr="00771ED1">
        <w:rPr>
          <w:rFonts w:ascii="方正书宋简体" w:eastAsia="方正书宋简体" w:hint="eastAsia"/>
          <w:color w:val="000000" w:themeColor="text1"/>
          <w:szCs w:val="21"/>
        </w:rPr>
        <w:t>不设区市的市区所辖街道办事处区域内的常住人口；（2）市辖镇、县辖镇所辖居民委员会或镇政府</w:t>
      </w:r>
    </w:p>
    <w:sectPr w:rsidR="00F22109" w:rsidRPr="00771ED1" w:rsidSect="00CD2678">
      <w:pgSz w:w="11906" w:h="16838" w:code="9"/>
      <w:pgMar w:top="2268" w:right="1814" w:bottom="2268" w:left="1814" w:header="851" w:footer="1985"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14EA" w:rsidRDefault="007614EA" w:rsidP="00B63119">
      <w:r>
        <w:separator/>
      </w:r>
    </w:p>
  </w:endnote>
  <w:endnote w:type="continuationSeparator" w:id="1">
    <w:p w:rsidR="007614EA" w:rsidRDefault="007614EA" w:rsidP="00B6311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方正书宋简体">
    <w:altName w:val="微软雅黑"/>
    <w:charset w:val="86"/>
    <w:family w:val="script"/>
    <w:pitch w:val="fixed"/>
    <w:sig w:usb0="00000000" w:usb1="080E0000" w:usb2="00000010" w:usb3="00000000" w:csb0="00040000"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14EA" w:rsidRDefault="007614EA" w:rsidP="00B63119">
      <w:r>
        <w:separator/>
      </w:r>
    </w:p>
  </w:footnote>
  <w:footnote w:type="continuationSeparator" w:id="1">
    <w:p w:rsidR="007614EA" w:rsidRDefault="007614EA" w:rsidP="00B6311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D2678"/>
    <w:rsid w:val="00127158"/>
    <w:rsid w:val="00636CF1"/>
    <w:rsid w:val="007614EA"/>
    <w:rsid w:val="00771ED1"/>
    <w:rsid w:val="00B63119"/>
    <w:rsid w:val="00CD2678"/>
    <w:rsid w:val="00DA4DAF"/>
    <w:rsid w:val="00F221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6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6311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63119"/>
    <w:rPr>
      <w:rFonts w:ascii="Times New Roman" w:eastAsia="宋体" w:hAnsi="Times New Roman" w:cs="Times New Roman"/>
      <w:sz w:val="18"/>
      <w:szCs w:val="18"/>
    </w:rPr>
  </w:style>
  <w:style w:type="paragraph" w:styleId="a4">
    <w:name w:val="footer"/>
    <w:basedOn w:val="a"/>
    <w:link w:val="Char0"/>
    <w:uiPriority w:val="99"/>
    <w:unhideWhenUsed/>
    <w:rsid w:val="00B63119"/>
    <w:pPr>
      <w:tabs>
        <w:tab w:val="center" w:pos="4153"/>
        <w:tab w:val="right" w:pos="8306"/>
      </w:tabs>
      <w:snapToGrid w:val="0"/>
      <w:jc w:val="left"/>
    </w:pPr>
    <w:rPr>
      <w:sz w:val="18"/>
      <w:szCs w:val="18"/>
    </w:rPr>
  </w:style>
  <w:style w:type="character" w:customStyle="1" w:styleId="Char0">
    <w:name w:val="页脚 Char"/>
    <w:basedOn w:val="a0"/>
    <w:link w:val="a4"/>
    <w:uiPriority w:val="99"/>
    <w:rsid w:val="00B63119"/>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183</Words>
  <Characters>1044</Characters>
  <Application>Microsoft Office Word</Application>
  <DocSecurity>0</DocSecurity>
  <Lines>8</Lines>
  <Paragraphs>2</Paragraphs>
  <ScaleCrop>false</ScaleCrop>
  <Company>P R C</Company>
  <LinksUpToDate>false</LinksUpToDate>
  <CharactersWithSpaces>1225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4</cp:revision>
  <dcterms:created xsi:type="dcterms:W3CDTF">2017-05-23T08:35:00Z</dcterms:created>
  <dcterms:modified xsi:type="dcterms:W3CDTF">2017-07-27T02:03:00Z</dcterms:modified>
</cp:coreProperties>
</file>