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A72" w:rsidRPr="007A0229" w:rsidRDefault="00094A72" w:rsidP="00094A72">
      <w:pPr>
        <w:widowControl/>
        <w:spacing w:line="580" w:lineRule="exact"/>
        <w:ind w:firstLineChars="200" w:firstLine="640"/>
        <w:jc w:val="left"/>
        <w:rPr>
          <w:rFonts w:ascii="楷体_GB2312" w:eastAsia="楷体_GB2312" w:hAnsi="宋体" w:cs="宋体"/>
          <w:b/>
          <w:color w:val="000000" w:themeColor="text1"/>
          <w:kern w:val="0"/>
          <w:sz w:val="32"/>
          <w:szCs w:val="32"/>
        </w:rPr>
      </w:pPr>
      <w:r w:rsidRPr="007A0229">
        <w:rPr>
          <w:rFonts w:ascii="仿宋_GB2312" w:eastAsia="仿宋_GB2312" w:hAnsi="Arial" w:cs="宋体" w:hint="eastAsia"/>
          <w:color w:val="000000" w:themeColor="text1"/>
          <w:kern w:val="0"/>
          <w:sz w:val="32"/>
          <w:szCs w:val="32"/>
        </w:rPr>
        <w:t>企业扩大经营规模，实现低成本扩张和跨地区发展，使其能够做大做强，提升企业市场竞争力，发挥大企业在调控市场和带动产品销售等方面的骨干作用，夯实市场根基。</w:t>
      </w:r>
    </w:p>
    <w:p w:rsidR="00094A72" w:rsidRPr="007A0229" w:rsidRDefault="00094A72" w:rsidP="00094A72">
      <w:pPr>
        <w:widowControl/>
        <w:spacing w:line="580" w:lineRule="exact"/>
        <w:ind w:firstLineChars="200" w:firstLine="640"/>
        <w:jc w:val="left"/>
        <w:outlineLvl w:val="0"/>
        <w:rPr>
          <w:rFonts w:ascii="楷体_GB2312" w:eastAsia="楷体_GB2312" w:hAnsi="宋体" w:cs="宋体"/>
          <w:b/>
          <w:color w:val="000000" w:themeColor="text1"/>
          <w:kern w:val="0"/>
          <w:sz w:val="32"/>
          <w:szCs w:val="32"/>
        </w:rPr>
      </w:pPr>
      <w:r w:rsidRPr="007A0229">
        <w:rPr>
          <w:rFonts w:ascii="楷体_GB2312" w:eastAsia="楷体_GB2312" w:hAnsi="宋体" w:cs="宋体" w:hint="eastAsia"/>
          <w:b/>
          <w:color w:val="000000" w:themeColor="text1"/>
          <w:kern w:val="0"/>
          <w:sz w:val="32"/>
          <w:szCs w:val="32"/>
        </w:rPr>
        <w:t>（二）立足新业态，着力发展新兴产业</w:t>
      </w:r>
    </w:p>
    <w:p w:rsidR="00094A72" w:rsidRPr="007A0229" w:rsidRDefault="00094A72" w:rsidP="00094A72">
      <w:pPr>
        <w:widowControl/>
        <w:spacing w:line="580" w:lineRule="exact"/>
        <w:ind w:firstLineChars="200" w:firstLine="640"/>
        <w:jc w:val="left"/>
        <w:rPr>
          <w:rFonts w:ascii="仿宋_GB2312" w:eastAsia="仿宋_GB2312" w:hAnsi="宋体" w:cs="宋体"/>
          <w:color w:val="000000" w:themeColor="text1"/>
          <w:kern w:val="0"/>
          <w:sz w:val="32"/>
          <w:szCs w:val="32"/>
        </w:rPr>
      </w:pPr>
      <w:r w:rsidRPr="007A0229">
        <w:rPr>
          <w:rFonts w:ascii="仿宋_GB2312" w:eastAsia="仿宋_GB2312" w:hAnsi="宋体" w:cs="宋体" w:hint="eastAsia"/>
          <w:color w:val="000000" w:themeColor="text1"/>
          <w:kern w:val="0"/>
          <w:sz w:val="32"/>
          <w:szCs w:val="32"/>
        </w:rPr>
        <w:t>立足新业态，着力发展新兴产业。一是大力推进信息消费。推进农村地区信息基础设施建设，深入实施信息消费下乡工程。二是加快发展健康服务业。要积极引入社会资本参与医疗服务体系建设，鼓励企业及社会组织等以多种形式投资医疗服务业。支持发展多样化健康服务，培育健康服务业相关支撑产业。三是推动发展养老服务业。鼓励民间资本和各类社会组织举办有医疗条件或护理床位的护理型养老机构，加大专业人才的培训力度，不断提高服务质量。要通过补助投资、贷款贴息、运营补贴等方式，支持社会力量发展养老服务。</w:t>
      </w:r>
    </w:p>
    <w:p w:rsidR="00094A72" w:rsidRPr="007A0229" w:rsidRDefault="00094A72" w:rsidP="00094A72">
      <w:pPr>
        <w:widowControl/>
        <w:shd w:val="clear" w:color="auto" w:fill="FFFFFF"/>
        <w:spacing w:line="580" w:lineRule="exact"/>
        <w:ind w:firstLineChars="196" w:firstLine="628"/>
        <w:jc w:val="left"/>
        <w:outlineLvl w:val="0"/>
        <w:rPr>
          <w:rFonts w:ascii="楷体_GB2312" w:eastAsia="楷体_GB2312" w:hAnsi="Arial" w:cs="宋体"/>
          <w:b/>
          <w:color w:val="000000" w:themeColor="text1"/>
          <w:kern w:val="0"/>
          <w:sz w:val="32"/>
          <w:szCs w:val="32"/>
        </w:rPr>
      </w:pPr>
      <w:r w:rsidRPr="007A0229">
        <w:rPr>
          <w:rFonts w:ascii="楷体_GB2312" w:eastAsia="楷体_GB2312" w:hAnsi="Arial" w:cs="宋体" w:hint="eastAsia"/>
          <w:b/>
          <w:color w:val="000000" w:themeColor="text1"/>
          <w:kern w:val="0"/>
          <w:sz w:val="32"/>
          <w:szCs w:val="32"/>
        </w:rPr>
        <w:t>（三）着眼新模式，致力推动产业转型升级</w:t>
      </w:r>
    </w:p>
    <w:p w:rsidR="00094A72" w:rsidRPr="007A0229" w:rsidRDefault="00094A72" w:rsidP="00094A72">
      <w:pPr>
        <w:widowControl/>
        <w:shd w:val="clear" w:color="auto" w:fill="FFFFFF"/>
        <w:spacing w:line="580" w:lineRule="exact"/>
        <w:ind w:firstLineChars="200" w:firstLine="640"/>
        <w:jc w:val="left"/>
        <w:rPr>
          <w:rFonts w:ascii="仿宋_GB2312" w:eastAsia="仿宋_GB2312" w:hAnsi="Arial" w:cs="宋体"/>
          <w:color w:val="000000" w:themeColor="text1"/>
          <w:kern w:val="0"/>
          <w:sz w:val="32"/>
          <w:szCs w:val="32"/>
        </w:rPr>
      </w:pPr>
      <w:r w:rsidRPr="007A0229">
        <w:rPr>
          <w:rFonts w:ascii="仿宋_GB2312" w:eastAsia="仿宋_GB2312" w:hAnsi="Arial" w:cs="宋体" w:hint="eastAsia"/>
          <w:color w:val="000000" w:themeColor="text1"/>
          <w:kern w:val="0"/>
          <w:sz w:val="32"/>
          <w:szCs w:val="32"/>
        </w:rPr>
        <w:t>面对逐渐兴起的商业新模式，我们必须致力推动商贸产业转型升级。一是紧紧抓住电子商务促内需的机遇，夯实电子商务发展所需的物质基础和软硬件基础，加快培育电子商务交易市场主体。一要加强对电子商务项目的资金支持，培养企业运用电子商务平台的能力，加速度电子商务的发展和运营。二要积极引导批发和零售企</w:t>
      </w:r>
      <w:r w:rsidRPr="007A0229">
        <w:rPr>
          <w:rFonts w:ascii="仿宋_GB2312" w:eastAsia="仿宋_GB2312" w:hAnsi="Arial" w:cs="宋体" w:hint="eastAsia"/>
          <w:color w:val="000000" w:themeColor="text1"/>
          <w:kern w:val="0"/>
          <w:sz w:val="32"/>
          <w:szCs w:val="32"/>
        </w:rPr>
        <w:lastRenderedPageBreak/>
        <w:t>业依托互联网电子商务平台的快速发展，采取线上和线下相结合的经营模式，实现企业的转型升级。</w:t>
      </w:r>
    </w:p>
    <w:p w:rsidR="00094A72" w:rsidRPr="007A0229" w:rsidRDefault="00094A72" w:rsidP="00094A72">
      <w:pPr>
        <w:widowControl/>
        <w:shd w:val="clear" w:color="auto" w:fill="FFFFFF"/>
        <w:spacing w:line="580" w:lineRule="exact"/>
        <w:ind w:firstLineChars="200" w:firstLine="640"/>
        <w:jc w:val="left"/>
        <w:rPr>
          <w:rFonts w:ascii="仿宋_GB2312" w:eastAsia="仿宋_GB2312" w:hAnsi="Arial" w:cs="宋体"/>
          <w:color w:val="000000" w:themeColor="text1"/>
          <w:kern w:val="0"/>
          <w:sz w:val="32"/>
          <w:szCs w:val="32"/>
        </w:rPr>
      </w:pPr>
      <w:r w:rsidRPr="007A0229">
        <w:rPr>
          <w:rFonts w:ascii="仿宋_GB2312" w:eastAsia="仿宋_GB2312" w:hAnsi="Arial" w:cs="宋体" w:hint="eastAsia"/>
          <w:color w:val="000000" w:themeColor="text1"/>
          <w:kern w:val="0"/>
          <w:sz w:val="32"/>
          <w:szCs w:val="32"/>
        </w:rPr>
        <w:t>二是积极拓展连锁经营领域。连锁经营是现代零售业发展的主流模式之一，要通过规划引导，发展农村连锁经营，加快发展专业性较强的家电、食品、建材等专业连锁超市，不断扩大连锁经营的规模，促进本土品牌向周边地区甚至全国延伸。</w:t>
      </w:r>
    </w:p>
    <w:p w:rsidR="00094A72" w:rsidRPr="007A0229" w:rsidRDefault="00094A72" w:rsidP="00094A72">
      <w:pPr>
        <w:widowControl/>
        <w:spacing w:line="580" w:lineRule="exact"/>
        <w:ind w:firstLineChars="200" w:firstLine="640"/>
        <w:jc w:val="left"/>
        <w:outlineLvl w:val="0"/>
        <w:rPr>
          <w:rFonts w:ascii="楷体_GB2312" w:eastAsia="楷体_GB2312" w:hAnsi="宋体" w:cs="宋体"/>
          <w:b/>
          <w:color w:val="000000" w:themeColor="text1"/>
          <w:kern w:val="0"/>
          <w:sz w:val="32"/>
          <w:szCs w:val="32"/>
        </w:rPr>
      </w:pPr>
      <w:r w:rsidRPr="007A0229">
        <w:rPr>
          <w:rFonts w:ascii="楷体_GB2312" w:eastAsia="楷体_GB2312" w:hAnsi="Arial" w:cs="宋体" w:hint="eastAsia"/>
          <w:b/>
          <w:color w:val="000000" w:themeColor="text1"/>
          <w:kern w:val="0"/>
          <w:sz w:val="32"/>
          <w:szCs w:val="32"/>
        </w:rPr>
        <w:t>（四）</w:t>
      </w:r>
      <w:r w:rsidRPr="007A0229">
        <w:rPr>
          <w:rFonts w:ascii="楷体_GB2312" w:eastAsia="楷体_GB2312" w:hAnsi="宋体" w:cs="宋体" w:hint="eastAsia"/>
          <w:b/>
          <w:color w:val="000000" w:themeColor="text1"/>
          <w:kern w:val="0"/>
          <w:sz w:val="32"/>
          <w:szCs w:val="32"/>
        </w:rPr>
        <w:t>用活国家政策，促进消费平稳增长</w:t>
      </w:r>
    </w:p>
    <w:p w:rsidR="00094A72" w:rsidRPr="007A0229" w:rsidRDefault="00094A72" w:rsidP="00094A72">
      <w:pPr>
        <w:widowControl/>
        <w:spacing w:line="580" w:lineRule="exact"/>
        <w:ind w:firstLineChars="200" w:firstLine="640"/>
        <w:jc w:val="left"/>
        <w:rPr>
          <w:rFonts w:ascii="仿宋_GB2312" w:eastAsia="仿宋_GB2312" w:hAnsi="宋体" w:cs="宋体"/>
          <w:color w:val="000000" w:themeColor="text1"/>
          <w:kern w:val="0"/>
          <w:sz w:val="32"/>
          <w:szCs w:val="32"/>
        </w:rPr>
      </w:pPr>
      <w:r w:rsidRPr="007A0229">
        <w:rPr>
          <w:rFonts w:ascii="仿宋_GB2312" w:eastAsia="仿宋_GB2312" w:hAnsi="宋体" w:cs="宋体" w:hint="eastAsia"/>
          <w:color w:val="000000" w:themeColor="text1"/>
          <w:kern w:val="0"/>
          <w:sz w:val="32"/>
          <w:szCs w:val="32"/>
        </w:rPr>
        <w:t>国家已经陆续出台许多稳增长和促消费的政策措施，主要有：国家推出“促进旅游投资和消费的政策措施”、《关于加快发展农村电子商务的意见》以及</w:t>
      </w:r>
      <w:r w:rsidRPr="007A0229">
        <w:rPr>
          <w:rFonts w:ascii="仿宋_GB2312" w:eastAsia="仿宋_GB2312" w:hint="eastAsia"/>
          <w:bCs/>
          <w:color w:val="000000" w:themeColor="text1"/>
          <w:kern w:val="60"/>
          <w:sz w:val="32"/>
          <w:szCs w:val="32"/>
        </w:rPr>
        <w:t>完善教育、医疗和养老等社会保障体系建设的各项措施</w:t>
      </w:r>
      <w:r w:rsidRPr="007A0229">
        <w:rPr>
          <w:rFonts w:ascii="仿宋_GB2312" w:eastAsia="仿宋_GB2312" w:hAnsi="宋体" w:cs="宋体" w:hint="eastAsia"/>
          <w:color w:val="000000" w:themeColor="text1"/>
          <w:kern w:val="0"/>
          <w:sz w:val="32"/>
          <w:szCs w:val="32"/>
        </w:rPr>
        <w:t>，政策针对性强，是促进经济结构转型，保证经济平稳增长的保障。</w:t>
      </w:r>
    </w:p>
    <w:p w:rsidR="00094A72" w:rsidRPr="007A0229" w:rsidRDefault="00094A72" w:rsidP="00094A72">
      <w:pPr>
        <w:spacing w:line="580" w:lineRule="exact"/>
        <w:ind w:firstLine="645"/>
        <w:rPr>
          <w:rFonts w:ascii="仿宋_GB2312" w:eastAsia="仿宋_GB2312"/>
          <w:color w:val="000000" w:themeColor="text1"/>
          <w:sz w:val="32"/>
          <w:szCs w:val="32"/>
        </w:rPr>
      </w:pPr>
    </w:p>
    <w:p w:rsidR="00094A72" w:rsidRPr="007A0229" w:rsidRDefault="00094A72" w:rsidP="00094A72">
      <w:pPr>
        <w:spacing w:line="580" w:lineRule="exact"/>
        <w:ind w:firstLine="646"/>
        <w:rPr>
          <w:rFonts w:ascii="仿宋_GB2312" w:eastAsia="仿宋_GB2312"/>
          <w:color w:val="000000" w:themeColor="text1"/>
          <w:sz w:val="32"/>
          <w:szCs w:val="32"/>
        </w:rPr>
      </w:pPr>
      <w:r w:rsidRPr="007A0229">
        <w:rPr>
          <w:rFonts w:ascii="仿宋_GB2312" w:eastAsia="仿宋_GB2312" w:hint="eastAsia"/>
          <w:color w:val="000000" w:themeColor="text1"/>
          <w:sz w:val="32"/>
          <w:szCs w:val="32"/>
        </w:rPr>
        <w:t xml:space="preserve">                                 （撰稿：陈华山）</w:t>
      </w:r>
    </w:p>
    <w:p w:rsidR="00094A72" w:rsidRPr="007A0229" w:rsidRDefault="00094A72" w:rsidP="00094A72">
      <w:pPr>
        <w:spacing w:line="580" w:lineRule="exact"/>
        <w:ind w:firstLine="646"/>
        <w:rPr>
          <w:rFonts w:ascii="仿宋_GB2312" w:eastAsia="仿宋_GB2312"/>
          <w:color w:val="000000" w:themeColor="text1"/>
          <w:sz w:val="32"/>
          <w:szCs w:val="32"/>
        </w:rPr>
      </w:pPr>
    </w:p>
    <w:p w:rsidR="00094A72" w:rsidRPr="007A0229" w:rsidRDefault="00094A72" w:rsidP="00094A72">
      <w:pPr>
        <w:widowControl/>
        <w:shd w:val="clear" w:color="auto" w:fill="FFFFFF"/>
        <w:spacing w:line="400" w:lineRule="exact"/>
        <w:jc w:val="left"/>
        <w:rPr>
          <w:rFonts w:ascii="楷体_GB2312" w:eastAsia="楷体_GB2312" w:hAnsi="宋体" w:cs="宋体"/>
          <w:color w:val="000000" w:themeColor="text1"/>
          <w:kern w:val="0"/>
          <w:sz w:val="24"/>
        </w:rPr>
      </w:pPr>
      <w:r w:rsidRPr="007A0229">
        <w:rPr>
          <w:rFonts w:ascii="楷体_GB2312" w:eastAsia="楷体_GB2312" w:hAnsi="宋体" w:cs="宋体" w:hint="eastAsia"/>
          <w:color w:val="000000" w:themeColor="text1"/>
          <w:kern w:val="0"/>
          <w:sz w:val="24"/>
        </w:rPr>
        <w:t>附注：</w:t>
      </w:r>
    </w:p>
    <w:p w:rsidR="00094A72" w:rsidRPr="007A0229" w:rsidRDefault="00094A72" w:rsidP="00094A72">
      <w:pPr>
        <w:widowControl/>
        <w:shd w:val="clear" w:color="auto" w:fill="FFFFFF"/>
        <w:spacing w:line="400" w:lineRule="exact"/>
        <w:jc w:val="left"/>
        <w:outlineLvl w:val="0"/>
        <w:rPr>
          <w:rFonts w:ascii="楷体_GB2312" w:eastAsia="楷体_GB2312" w:hAnsi="宋体" w:cs="宋体"/>
          <w:color w:val="000000" w:themeColor="text1"/>
          <w:kern w:val="0"/>
          <w:sz w:val="24"/>
        </w:rPr>
      </w:pPr>
      <w:r w:rsidRPr="007A0229">
        <w:rPr>
          <w:rFonts w:ascii="楷体_GB2312" w:eastAsia="楷体_GB2312" w:hAnsi="宋体" w:cs="宋体" w:hint="eastAsia"/>
          <w:color w:val="000000" w:themeColor="text1"/>
          <w:kern w:val="0"/>
          <w:sz w:val="24"/>
        </w:rPr>
        <w:t xml:space="preserve">　　1.指标涵义</w:t>
      </w:r>
    </w:p>
    <w:p w:rsidR="00094A72" w:rsidRPr="007A0229" w:rsidRDefault="00094A72" w:rsidP="00094A72">
      <w:pPr>
        <w:widowControl/>
        <w:shd w:val="clear" w:color="auto" w:fill="FFFFFF"/>
        <w:spacing w:line="400" w:lineRule="exact"/>
        <w:jc w:val="left"/>
        <w:rPr>
          <w:rFonts w:ascii="楷体_GB2312" w:eastAsia="楷体_GB2312" w:hAnsi="宋体" w:cs="宋体"/>
          <w:color w:val="000000" w:themeColor="text1"/>
          <w:kern w:val="0"/>
          <w:sz w:val="24"/>
        </w:rPr>
      </w:pPr>
      <w:r w:rsidRPr="007A0229">
        <w:rPr>
          <w:rFonts w:ascii="楷体_GB2312" w:eastAsia="楷体_GB2312" w:hAnsi="宋体" w:cs="宋体" w:hint="eastAsia"/>
          <w:color w:val="000000" w:themeColor="text1"/>
          <w:kern w:val="0"/>
          <w:sz w:val="24"/>
        </w:rPr>
        <w:t xml:space="preserve">　　 社会消费品零售总额指企业（单位）通过交易售给个人、社会集团非生产、非经营用的实物商品金额，以及提供餐饮服务所取得的收入金额。</w:t>
      </w:r>
    </w:p>
    <w:p w:rsidR="00094A72" w:rsidRPr="007A0229" w:rsidRDefault="00094A72" w:rsidP="00094A72">
      <w:pPr>
        <w:widowControl/>
        <w:shd w:val="clear" w:color="auto" w:fill="FFFFFF"/>
        <w:spacing w:line="400" w:lineRule="exact"/>
        <w:jc w:val="left"/>
        <w:outlineLvl w:val="0"/>
        <w:rPr>
          <w:rFonts w:ascii="楷体_GB2312" w:eastAsia="楷体_GB2312" w:hAnsi="宋体" w:cs="宋体"/>
          <w:color w:val="000000" w:themeColor="text1"/>
          <w:kern w:val="0"/>
          <w:sz w:val="24"/>
        </w:rPr>
      </w:pPr>
      <w:r w:rsidRPr="007A0229">
        <w:rPr>
          <w:rFonts w:ascii="楷体_GB2312" w:eastAsia="楷体_GB2312" w:hAnsi="宋体" w:cs="宋体" w:hint="eastAsia"/>
          <w:color w:val="000000" w:themeColor="text1"/>
          <w:kern w:val="0"/>
          <w:sz w:val="24"/>
        </w:rPr>
        <w:t xml:space="preserve">　　2.调查对象</w:t>
      </w:r>
    </w:p>
    <w:p w:rsidR="00094A72" w:rsidRPr="007A0229" w:rsidRDefault="00094A72" w:rsidP="00094A72">
      <w:pPr>
        <w:widowControl/>
        <w:shd w:val="clear" w:color="auto" w:fill="FFFFFF"/>
        <w:spacing w:line="400" w:lineRule="exact"/>
        <w:jc w:val="left"/>
        <w:rPr>
          <w:rFonts w:ascii="楷体_GB2312" w:eastAsia="楷体_GB2312" w:hAnsi="宋体" w:cs="宋体"/>
          <w:color w:val="000000" w:themeColor="text1"/>
          <w:kern w:val="0"/>
          <w:sz w:val="24"/>
        </w:rPr>
      </w:pPr>
      <w:r w:rsidRPr="007A0229">
        <w:rPr>
          <w:rFonts w:ascii="楷体_GB2312" w:eastAsia="楷体_GB2312" w:hAnsi="宋体" w:cs="宋体" w:hint="eastAsia"/>
          <w:color w:val="000000" w:themeColor="text1"/>
          <w:kern w:val="0"/>
          <w:sz w:val="24"/>
        </w:rPr>
        <w:t xml:space="preserve">　　 从事商品零售活动或提供餐饮服务的法人企业、产业活动单位和个体户。其中，限额以上企业（单位）是指年主营业务收入2000万元及以上的批发业企业（单位）、500万元及以上的零售业企业（单位）、200万元及以上的住宿和餐饮业企业（单位）。</w:t>
      </w:r>
    </w:p>
    <w:p w:rsidR="00094A72" w:rsidRPr="007A0229" w:rsidRDefault="00094A72" w:rsidP="00094A72">
      <w:pPr>
        <w:widowControl/>
        <w:shd w:val="clear" w:color="auto" w:fill="FFFFFF"/>
        <w:spacing w:line="400" w:lineRule="exact"/>
        <w:jc w:val="left"/>
        <w:outlineLvl w:val="0"/>
        <w:rPr>
          <w:rFonts w:ascii="楷体_GB2312" w:eastAsia="楷体_GB2312" w:hAnsi="宋体" w:cs="宋体"/>
          <w:color w:val="000000" w:themeColor="text1"/>
          <w:kern w:val="0"/>
          <w:sz w:val="24"/>
        </w:rPr>
      </w:pPr>
      <w:r w:rsidRPr="007A0229">
        <w:rPr>
          <w:rFonts w:ascii="楷体_GB2312" w:eastAsia="楷体_GB2312" w:hAnsi="宋体" w:cs="宋体" w:hint="eastAsia"/>
          <w:color w:val="000000" w:themeColor="text1"/>
          <w:kern w:val="0"/>
          <w:sz w:val="24"/>
        </w:rPr>
        <w:lastRenderedPageBreak/>
        <w:t xml:space="preserve">　　3.调查方法</w:t>
      </w:r>
    </w:p>
    <w:p w:rsidR="00094A72" w:rsidRPr="007A0229" w:rsidRDefault="00094A72" w:rsidP="00094A72">
      <w:pPr>
        <w:widowControl/>
        <w:shd w:val="clear" w:color="auto" w:fill="FFFFFF"/>
        <w:spacing w:line="400" w:lineRule="exact"/>
        <w:jc w:val="left"/>
        <w:rPr>
          <w:rFonts w:ascii="楷体_GB2312" w:eastAsia="楷体_GB2312" w:hAnsi="宋体"/>
          <w:color w:val="000000" w:themeColor="text1"/>
          <w:sz w:val="24"/>
          <w:szCs w:val="32"/>
        </w:rPr>
      </w:pPr>
      <w:r w:rsidRPr="007A0229">
        <w:rPr>
          <w:rFonts w:ascii="楷体_GB2312" w:eastAsia="楷体_GB2312" w:hAnsi="宋体" w:cs="宋体" w:hint="eastAsia"/>
          <w:color w:val="000000" w:themeColor="text1"/>
          <w:kern w:val="0"/>
          <w:sz w:val="24"/>
        </w:rPr>
        <w:t xml:space="preserve">　　 对限额以上企业（单位）进行全数调查，对限额以下企业（单位）进行抽样调查。</w:t>
      </w:r>
    </w:p>
    <w:p w:rsidR="006E5100" w:rsidRPr="007A0229" w:rsidRDefault="00094A72" w:rsidP="00094A72">
      <w:pPr>
        <w:ind w:firstLineChars="300" w:firstLine="630"/>
        <w:rPr>
          <w:color w:val="000000" w:themeColor="text1"/>
        </w:rPr>
      </w:pPr>
      <w:r w:rsidRPr="007A0229">
        <w:rPr>
          <w:rFonts w:hint="eastAsia"/>
          <w:color w:val="000000" w:themeColor="text1"/>
        </w:rPr>
        <w:t>注：本部分概述中的文章中数据部分为快报数。</w:t>
      </w:r>
    </w:p>
    <w:sectPr w:rsidR="006E5100" w:rsidRPr="007A0229" w:rsidSect="00922F3A">
      <w:headerReference w:type="default" r:id="rId6"/>
      <w:footerReference w:type="even" r:id="rId7"/>
      <w:footerReference w:type="default" r:id="rId8"/>
      <w:headerReference w:type="first" r:id="rId9"/>
      <w:pgSz w:w="12240" w:h="15840"/>
      <w:pgMar w:top="2155" w:right="1474" w:bottom="1701" w:left="1474" w:header="720" w:footer="720" w:gutter="0"/>
      <w:pgNumType w:fmt="numberInDash"/>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2134" w:rsidRDefault="00962134" w:rsidP="00764C82">
      <w:r>
        <w:separator/>
      </w:r>
    </w:p>
  </w:endnote>
  <w:endnote w:type="continuationSeparator" w:id="1">
    <w:p w:rsidR="00962134" w:rsidRDefault="00962134" w:rsidP="00764C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103" w:rsidRDefault="00764C82" w:rsidP="00257A6A">
    <w:pPr>
      <w:pStyle w:val="a4"/>
      <w:framePr w:wrap="around" w:vAnchor="text" w:hAnchor="margin" w:xAlign="outside" w:y="1"/>
      <w:rPr>
        <w:rStyle w:val="a5"/>
      </w:rPr>
    </w:pPr>
    <w:r>
      <w:rPr>
        <w:rStyle w:val="a5"/>
      </w:rPr>
      <w:fldChar w:fldCharType="begin"/>
    </w:r>
    <w:r w:rsidR="00094A72">
      <w:rPr>
        <w:rStyle w:val="a5"/>
      </w:rPr>
      <w:instrText xml:space="preserve">PAGE  </w:instrText>
    </w:r>
    <w:r>
      <w:rPr>
        <w:rStyle w:val="a5"/>
      </w:rPr>
      <w:fldChar w:fldCharType="end"/>
    </w:r>
  </w:p>
  <w:p w:rsidR="00F51103" w:rsidRDefault="00962134" w:rsidP="00922F3A">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103" w:rsidRPr="00922F3A" w:rsidRDefault="00764C82" w:rsidP="00257A6A">
    <w:pPr>
      <w:pStyle w:val="a4"/>
      <w:framePr w:wrap="around" w:vAnchor="text" w:hAnchor="margin" w:xAlign="outside" w:y="1"/>
      <w:rPr>
        <w:rStyle w:val="a5"/>
        <w:rFonts w:ascii="宋体" w:hAnsi="宋体"/>
        <w:sz w:val="28"/>
        <w:szCs w:val="28"/>
      </w:rPr>
    </w:pPr>
    <w:r w:rsidRPr="00922F3A">
      <w:rPr>
        <w:rStyle w:val="a5"/>
        <w:rFonts w:ascii="宋体" w:hAnsi="宋体"/>
        <w:sz w:val="28"/>
        <w:szCs w:val="28"/>
      </w:rPr>
      <w:fldChar w:fldCharType="begin"/>
    </w:r>
    <w:r w:rsidR="00094A72" w:rsidRPr="00922F3A">
      <w:rPr>
        <w:rStyle w:val="a5"/>
        <w:rFonts w:ascii="宋体" w:hAnsi="宋体"/>
        <w:sz w:val="28"/>
        <w:szCs w:val="28"/>
      </w:rPr>
      <w:instrText xml:space="preserve">PAGE  </w:instrText>
    </w:r>
    <w:r w:rsidRPr="00922F3A">
      <w:rPr>
        <w:rStyle w:val="a5"/>
        <w:rFonts w:ascii="宋体" w:hAnsi="宋体"/>
        <w:sz w:val="28"/>
        <w:szCs w:val="28"/>
      </w:rPr>
      <w:fldChar w:fldCharType="separate"/>
    </w:r>
    <w:r w:rsidR="007A0229">
      <w:rPr>
        <w:rStyle w:val="a5"/>
        <w:rFonts w:ascii="宋体" w:hAnsi="宋体"/>
        <w:noProof/>
        <w:sz w:val="28"/>
        <w:szCs w:val="28"/>
      </w:rPr>
      <w:t>- 3 -</w:t>
    </w:r>
    <w:r w:rsidRPr="00922F3A">
      <w:rPr>
        <w:rStyle w:val="a5"/>
        <w:rFonts w:ascii="宋体" w:hAnsi="宋体"/>
        <w:sz w:val="28"/>
        <w:szCs w:val="28"/>
      </w:rPr>
      <w:fldChar w:fldCharType="end"/>
    </w:r>
  </w:p>
  <w:p w:rsidR="00F51103" w:rsidRDefault="00962134" w:rsidP="00922F3A">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2134" w:rsidRDefault="00962134" w:rsidP="00764C82">
      <w:r>
        <w:separator/>
      </w:r>
    </w:p>
  </w:footnote>
  <w:footnote w:type="continuationSeparator" w:id="1">
    <w:p w:rsidR="00962134" w:rsidRDefault="00962134" w:rsidP="00764C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103" w:rsidRDefault="00962134" w:rsidP="00AD232A">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103" w:rsidRDefault="00962134" w:rsidP="00922F3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4A72"/>
    <w:rsid w:val="00094A72"/>
    <w:rsid w:val="00195002"/>
    <w:rsid w:val="006E5100"/>
    <w:rsid w:val="00764C82"/>
    <w:rsid w:val="007A0229"/>
    <w:rsid w:val="009621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A7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94A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94A72"/>
    <w:rPr>
      <w:rFonts w:ascii="Times New Roman" w:eastAsia="宋体" w:hAnsi="Times New Roman" w:cs="Times New Roman"/>
      <w:sz w:val="18"/>
      <w:szCs w:val="18"/>
    </w:rPr>
  </w:style>
  <w:style w:type="paragraph" w:styleId="a4">
    <w:name w:val="footer"/>
    <w:basedOn w:val="a"/>
    <w:link w:val="Char0"/>
    <w:rsid w:val="00094A72"/>
    <w:pPr>
      <w:tabs>
        <w:tab w:val="center" w:pos="4153"/>
        <w:tab w:val="right" w:pos="8306"/>
      </w:tabs>
      <w:snapToGrid w:val="0"/>
      <w:jc w:val="left"/>
    </w:pPr>
    <w:rPr>
      <w:sz w:val="18"/>
      <w:szCs w:val="18"/>
    </w:rPr>
  </w:style>
  <w:style w:type="character" w:customStyle="1" w:styleId="Char0">
    <w:name w:val="页脚 Char"/>
    <w:basedOn w:val="a0"/>
    <w:link w:val="a4"/>
    <w:rsid w:val="00094A72"/>
    <w:rPr>
      <w:rFonts w:ascii="Times New Roman" w:eastAsia="宋体" w:hAnsi="Times New Roman" w:cs="Times New Roman"/>
      <w:sz w:val="18"/>
      <w:szCs w:val="18"/>
    </w:rPr>
  </w:style>
  <w:style w:type="paragraph" w:customStyle="1" w:styleId="Char1">
    <w:name w:val="Char"/>
    <w:basedOn w:val="a"/>
    <w:autoRedefine/>
    <w:rsid w:val="00094A72"/>
    <w:pPr>
      <w:widowControl/>
      <w:spacing w:after="160" w:line="240" w:lineRule="exact"/>
      <w:jc w:val="left"/>
    </w:pPr>
    <w:rPr>
      <w:rFonts w:ascii="Verdana" w:eastAsia="仿宋_GB2312" w:hAnsi="Verdana"/>
      <w:kern w:val="0"/>
      <w:sz w:val="24"/>
      <w:szCs w:val="20"/>
      <w:lang w:eastAsia="en-US"/>
    </w:rPr>
  </w:style>
  <w:style w:type="character" w:styleId="a5">
    <w:name w:val="page number"/>
    <w:basedOn w:val="a0"/>
    <w:rsid w:val="00094A72"/>
  </w:style>
  <w:style w:type="paragraph" w:styleId="a6">
    <w:name w:val="Document Map"/>
    <w:basedOn w:val="a"/>
    <w:link w:val="Char2"/>
    <w:uiPriority w:val="99"/>
    <w:semiHidden/>
    <w:unhideWhenUsed/>
    <w:rsid w:val="00195002"/>
    <w:rPr>
      <w:rFonts w:ascii="宋体"/>
      <w:sz w:val="18"/>
      <w:szCs w:val="18"/>
    </w:rPr>
  </w:style>
  <w:style w:type="character" w:customStyle="1" w:styleId="Char2">
    <w:name w:val="文档结构图 Char"/>
    <w:basedOn w:val="a0"/>
    <w:link w:val="a6"/>
    <w:uiPriority w:val="99"/>
    <w:semiHidden/>
    <w:rsid w:val="00195002"/>
    <w:rPr>
      <w:rFonts w:ascii="宋体"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165</Words>
  <Characters>944</Characters>
  <Application>Microsoft Office Word</Application>
  <DocSecurity>0</DocSecurity>
  <Lines>7</Lines>
  <Paragraphs>2</Paragraphs>
  <ScaleCrop>false</ScaleCrop>
  <Company>P R C</Company>
  <LinksUpToDate>false</LinksUpToDate>
  <CharactersWithSpaces>1107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3</cp:revision>
  <dcterms:created xsi:type="dcterms:W3CDTF">2017-02-04T06:49:00Z</dcterms:created>
  <dcterms:modified xsi:type="dcterms:W3CDTF">2017-07-27T01:39:00Z</dcterms:modified>
</cp:coreProperties>
</file>