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5A4" w:rsidRPr="000F49EC" w:rsidRDefault="000D65A4" w:rsidP="000D65A4">
      <w:pPr>
        <w:widowControl/>
        <w:spacing w:line="600" w:lineRule="exact"/>
        <w:ind w:firstLineChars="200" w:firstLine="640"/>
        <w:jc w:val="left"/>
        <w:outlineLvl w:val="0"/>
        <w:rPr>
          <w:rFonts w:ascii="楷体_GB2312" w:eastAsia="楷体_GB2312" w:hAnsi="宋体" w:cs="宋体"/>
          <w:b/>
          <w:color w:val="000000" w:themeColor="text1"/>
          <w:kern w:val="0"/>
          <w:sz w:val="32"/>
          <w:szCs w:val="32"/>
        </w:rPr>
      </w:pPr>
      <w:r w:rsidRPr="000F49EC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32"/>
        </w:rPr>
        <w:t>（四）基本需求增长良好，石油制品类消费依旧低迷</w:t>
      </w:r>
    </w:p>
    <w:p w:rsidR="000D65A4" w:rsidRPr="000F49EC" w:rsidRDefault="000D65A4" w:rsidP="000D65A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0F49E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2015年，全市限上批发和零售企业实现零售额231.41亿元，增长6.8%，比上年回落4.4个百分点。从限上批发和零售业分类零售额看，基本生活类需求稳定，居住类增长较快，石油及制品类依旧低迷。</w:t>
      </w:r>
    </w:p>
    <w:p w:rsidR="000D65A4" w:rsidRPr="000F49EC" w:rsidRDefault="000D65A4" w:rsidP="000D65A4">
      <w:pPr>
        <w:widowControl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0F49EC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1．居住类消费增长较快但增速回落。</w:t>
      </w:r>
      <w:r w:rsidRPr="000F49E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限上建筑及装潢材料、五金电料和家具类，分别实现零售额5.44亿元、3.01亿元和8.11亿元，分别增长11.9%、7.2%和18.2%，增速分别快于限上批零业零售额增幅5.1个、0.4个和11.4个百分点，增长势头虽然良好，但呈现回落趋势，增速比上年分别回落8.3个、7.2个和9.5个百分点。</w:t>
      </w:r>
    </w:p>
    <w:p w:rsidR="000D65A4" w:rsidRPr="000F49EC" w:rsidRDefault="000D65A4" w:rsidP="000D65A4">
      <w:pPr>
        <w:widowControl/>
        <w:spacing w:line="480" w:lineRule="auto"/>
        <w:ind w:firstLineChars="200" w:firstLine="482"/>
        <w:jc w:val="center"/>
        <w:rPr>
          <w:rFonts w:ascii="宋体" w:hAnsi="宋体" w:cs="宋体"/>
          <w:b/>
          <w:color w:val="000000" w:themeColor="text1"/>
          <w:kern w:val="0"/>
          <w:sz w:val="24"/>
        </w:rPr>
      </w:pPr>
    </w:p>
    <w:p w:rsidR="000D65A4" w:rsidRPr="000F49EC" w:rsidRDefault="000D65A4" w:rsidP="000D65A4">
      <w:pPr>
        <w:widowControl/>
        <w:spacing w:line="480" w:lineRule="auto"/>
        <w:ind w:firstLineChars="200" w:firstLine="482"/>
        <w:jc w:val="center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0F49EC">
        <w:rPr>
          <w:rFonts w:ascii="宋体" w:hAnsi="宋体" w:cs="宋体" w:hint="eastAsia"/>
          <w:b/>
          <w:color w:val="000000" w:themeColor="text1"/>
          <w:kern w:val="0"/>
          <w:sz w:val="24"/>
        </w:rPr>
        <w:t>表2  2015年限上主要商品零售额比重及增速变化情况</w:t>
      </w:r>
    </w:p>
    <w:tbl>
      <w:tblPr>
        <w:tblW w:w="7830" w:type="dxa"/>
        <w:jc w:val="center"/>
        <w:tblLook w:val="0000"/>
      </w:tblPr>
      <w:tblGrid>
        <w:gridCol w:w="2465"/>
        <w:gridCol w:w="1003"/>
        <w:gridCol w:w="741"/>
        <w:gridCol w:w="741"/>
        <w:gridCol w:w="741"/>
        <w:gridCol w:w="741"/>
        <w:gridCol w:w="745"/>
        <w:gridCol w:w="741"/>
      </w:tblGrid>
      <w:tr w:rsidR="000D65A4" w:rsidRPr="000F49EC" w:rsidTr="00987641">
        <w:trPr>
          <w:trHeight w:val="454"/>
          <w:jc w:val="center"/>
        </w:trPr>
        <w:tc>
          <w:tcPr>
            <w:tcW w:w="2465" w:type="dxa"/>
            <w:vMerge w:val="restart"/>
            <w:tcBorders>
              <w:top w:val="single" w:sz="12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商 品 名 称</w:t>
            </w:r>
          </w:p>
        </w:tc>
        <w:tc>
          <w:tcPr>
            <w:tcW w:w="244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2015年</w:t>
            </w:r>
          </w:p>
        </w:tc>
        <w:tc>
          <w:tcPr>
            <w:tcW w:w="1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2014年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升降(百分点)</w:t>
            </w:r>
          </w:p>
        </w:tc>
      </w:tr>
      <w:tr w:rsidR="000D65A4" w:rsidRPr="000F49EC" w:rsidTr="00987641">
        <w:trPr>
          <w:trHeight w:val="600"/>
          <w:jc w:val="center"/>
        </w:trPr>
        <w:tc>
          <w:tcPr>
            <w:tcW w:w="2465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D65A4" w:rsidRPr="000F49EC" w:rsidRDefault="000D65A4" w:rsidP="0098764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零售额（亿元）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比重  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增长  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比重  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增长  %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比重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增速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限上零售额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231.37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100.0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6.8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100.0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11.2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-4.4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1．粮油、食品类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25.65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11.1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18.6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10.0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9.2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1.1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9.4 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2．服装鞋帽针纺织品类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5.05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2.2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15.2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2.0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15.6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0.2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-0.4 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3．金银珠宝类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6.25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2.7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14.7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2.5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12.1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0.2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2.6 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4．日用品类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6.23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2.7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4.8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12.6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—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-7.8 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ind w:firstLineChars="50" w:firstLine="105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5．家电和音像器材类</w:t>
            </w:r>
          </w:p>
        </w:tc>
        <w:tc>
          <w:tcPr>
            <w:tcW w:w="10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11.89</w:t>
            </w:r>
          </w:p>
        </w:tc>
        <w:tc>
          <w:tcPr>
            <w:tcW w:w="7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5.1</w:t>
            </w:r>
          </w:p>
        </w:tc>
        <w:tc>
          <w:tcPr>
            <w:tcW w:w="7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6.5</w:t>
            </w:r>
          </w:p>
        </w:tc>
        <w:tc>
          <w:tcPr>
            <w:tcW w:w="7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5.2</w:t>
            </w:r>
          </w:p>
        </w:tc>
        <w:tc>
          <w:tcPr>
            <w:tcW w:w="7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4.6</w:t>
            </w:r>
          </w:p>
        </w:tc>
        <w:tc>
          <w:tcPr>
            <w:tcW w:w="74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-0.1</w:t>
            </w: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1.9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6．中西药品类</w:t>
            </w:r>
          </w:p>
        </w:tc>
        <w:tc>
          <w:tcPr>
            <w:tcW w:w="100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24.54 </w:t>
            </w: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10.6 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5.7 </w:t>
            </w: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10.7 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10.9 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-0.1 </w:t>
            </w:r>
          </w:p>
        </w:tc>
        <w:tc>
          <w:tcPr>
            <w:tcW w:w="7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-5.2 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7．家具类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8.11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18.2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27.7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0.3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-9.5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8．石油及制品类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63.49 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27.4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-5.7 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31.1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4.0 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-3.7 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-9.7 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ind w:firstLineChars="50" w:firstLine="105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9．建筑及装潢材料类</w:t>
            </w:r>
          </w:p>
        </w:tc>
        <w:tc>
          <w:tcPr>
            <w:tcW w:w="100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5.44</w:t>
            </w: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2.4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11.9</w:t>
            </w: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2.2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20.2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0.2</w:t>
            </w:r>
          </w:p>
        </w:tc>
        <w:tc>
          <w:tcPr>
            <w:tcW w:w="7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-8.3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ind w:firstLineChars="50" w:firstLine="105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10．机电产品及设备类</w:t>
            </w:r>
          </w:p>
        </w:tc>
        <w:tc>
          <w:tcPr>
            <w:tcW w:w="100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  5.01</w:t>
            </w: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2.2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3.9</w:t>
            </w: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2.2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18.2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7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-14.3</w:t>
            </w:r>
          </w:p>
        </w:tc>
      </w:tr>
      <w:tr w:rsidR="000D65A4" w:rsidRPr="000F49EC" w:rsidTr="00987641">
        <w:trPr>
          <w:trHeight w:val="454"/>
          <w:jc w:val="center"/>
        </w:trPr>
        <w:tc>
          <w:tcPr>
            <w:tcW w:w="24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FF0000" w:fill="FFFFFF"/>
            <w:vAlign w:val="bottom"/>
          </w:tcPr>
          <w:p w:rsidR="000D65A4" w:rsidRPr="000F49EC" w:rsidRDefault="000D65A4" w:rsidP="0098764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11．汽车类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49.01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21.2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20.1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18.8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15.6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2.4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0D65A4" w:rsidRPr="000F49EC" w:rsidRDefault="000D65A4" w:rsidP="0098764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F49E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4.5 </w:t>
            </w:r>
          </w:p>
        </w:tc>
      </w:tr>
    </w:tbl>
    <w:p w:rsidR="000D65A4" w:rsidRPr="000F49EC" w:rsidRDefault="000D65A4" w:rsidP="000D65A4">
      <w:pPr>
        <w:widowControl/>
        <w:spacing w:line="240" w:lineRule="exact"/>
        <w:ind w:firstLineChars="200" w:firstLine="640"/>
        <w:jc w:val="left"/>
        <w:rPr>
          <w:rFonts w:ascii="仿宋_GB2312" w:eastAsia="仿宋_GB2312" w:hAnsi="宋体" w:cs="宋体"/>
          <w:b/>
          <w:color w:val="000000" w:themeColor="text1"/>
          <w:kern w:val="0"/>
          <w:sz w:val="32"/>
          <w:szCs w:val="32"/>
        </w:rPr>
      </w:pPr>
    </w:p>
    <w:p w:rsidR="000D65A4" w:rsidRPr="000F49EC" w:rsidRDefault="000D65A4" w:rsidP="000D65A4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0F49EC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2．生活类基本需求增长稳定比重提高。</w:t>
      </w:r>
      <w:r w:rsidRPr="000F49E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限上粮油食品、饮料类和烟酒类分别实现零售额25.65亿元、2.00亿元和3.00亿元，分别增长18.6%、4.1%和4.0%；粮油食品类增速比上年提高9.4个，饮料类和烟酒类增速分别下降32.8个和11.2个百分点。服装鞋帽针纺织品类和日用品类分别实现零售额5.05亿元和6.23亿元，分别增长15.2%和4.8%，比上年分别回落0.4个和7.8个百分点。粮油食品类、服装鞋帽针纺织品类零售额占限上零售额的比重分别为11.1%和2.2%；较上年提高1.1个和0.2个百分点；饮料类、烟酒类和日用品类零售额占限上零售额的比重与上年持平。</w:t>
      </w:r>
    </w:p>
    <w:p w:rsidR="006E5100" w:rsidRPr="000F49EC" w:rsidRDefault="000D65A4" w:rsidP="000D65A4">
      <w:pPr>
        <w:rPr>
          <w:color w:val="000000" w:themeColor="text1"/>
        </w:rPr>
      </w:pPr>
      <w:r w:rsidRPr="000F49EC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3．金银珠宝类和汽车类企稳回升。</w:t>
      </w:r>
      <w:r w:rsidRPr="000F49EC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2015年，限上金银珠宝类商品实现零售额6.25亿元，增长14.7%；从全年增速走势看，除1-6月累计增速比上年有所回落外，1-3月、1-9月和1-12月累计增速均不同程度有所提高。汽车类实现零售额49.01亿元，增</w:t>
      </w:r>
    </w:p>
    <w:sectPr w:rsidR="006E5100" w:rsidRPr="000F49EC" w:rsidSect="006E5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1E4" w:rsidRDefault="00D921E4" w:rsidP="000F49EC">
      <w:r>
        <w:separator/>
      </w:r>
    </w:p>
  </w:endnote>
  <w:endnote w:type="continuationSeparator" w:id="1">
    <w:p w:rsidR="00D921E4" w:rsidRDefault="00D921E4" w:rsidP="000F4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1E4" w:rsidRDefault="00D921E4" w:rsidP="000F49EC">
      <w:r>
        <w:separator/>
      </w:r>
    </w:p>
  </w:footnote>
  <w:footnote w:type="continuationSeparator" w:id="1">
    <w:p w:rsidR="00D921E4" w:rsidRDefault="00D921E4" w:rsidP="000F49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65A4"/>
    <w:rsid w:val="000D65A4"/>
    <w:rsid w:val="000F49EC"/>
    <w:rsid w:val="001959EB"/>
    <w:rsid w:val="006E5100"/>
    <w:rsid w:val="00D9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5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0D65A4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3">
    <w:name w:val="Document Map"/>
    <w:basedOn w:val="a"/>
    <w:link w:val="Char0"/>
    <w:uiPriority w:val="99"/>
    <w:semiHidden/>
    <w:unhideWhenUsed/>
    <w:rsid w:val="000F49EC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3"/>
    <w:uiPriority w:val="99"/>
    <w:semiHidden/>
    <w:rsid w:val="000F49EC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1"/>
    <w:uiPriority w:val="99"/>
    <w:semiHidden/>
    <w:unhideWhenUsed/>
    <w:rsid w:val="000F49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semiHidden/>
    <w:rsid w:val="000F49E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0F49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0F49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1163</Characters>
  <Application>Microsoft Office Word</Application>
  <DocSecurity>0</DocSecurity>
  <Lines>9</Lines>
  <Paragraphs>2</Paragraphs>
  <ScaleCrop>false</ScaleCrop>
  <Company>P R C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2017-02-04T06:47:00Z</dcterms:created>
  <dcterms:modified xsi:type="dcterms:W3CDTF">2017-07-27T01:37:00Z</dcterms:modified>
</cp:coreProperties>
</file>