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47" w:type="dxa"/>
        <w:jc w:val="center"/>
        <w:tblInd w:w="108" w:type="dxa"/>
        <w:tblLook w:val="04A0"/>
      </w:tblPr>
      <w:tblGrid>
        <w:gridCol w:w="1243"/>
        <w:gridCol w:w="636"/>
        <w:gridCol w:w="636"/>
        <w:gridCol w:w="636"/>
        <w:gridCol w:w="636"/>
        <w:gridCol w:w="636"/>
        <w:gridCol w:w="636"/>
        <w:gridCol w:w="636"/>
        <w:gridCol w:w="636"/>
        <w:gridCol w:w="672"/>
        <w:gridCol w:w="672"/>
        <w:gridCol w:w="672"/>
      </w:tblGrid>
      <w:tr w:rsidR="004F3E7B" w:rsidRPr="006E634F" w:rsidTr="00987641">
        <w:trPr>
          <w:trHeight w:val="285"/>
          <w:jc w:val="center"/>
        </w:trPr>
        <w:tc>
          <w:tcPr>
            <w:tcW w:w="8347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  <w:r w:rsidRPr="006E634F"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表1  2015年社会消费品零售总额增长速度及排位情况</w:t>
            </w:r>
          </w:p>
        </w:tc>
      </w:tr>
      <w:tr w:rsidR="004F3E7B" w:rsidRPr="006E634F" w:rsidTr="00987641">
        <w:trPr>
          <w:trHeight w:val="555"/>
          <w:jc w:val="center"/>
        </w:trPr>
        <w:tc>
          <w:tcPr>
            <w:tcW w:w="12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  <w:vertAlign w:val="subscript"/>
              </w:rPr>
              <w:t xml:space="preserve">区域        </w:t>
            </w: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  <w:vertAlign w:val="superscript"/>
              </w:rPr>
              <w:t>月度</w:t>
            </w:r>
          </w:p>
        </w:tc>
        <w:tc>
          <w:tcPr>
            <w:tcW w:w="6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1-2月</w:t>
            </w:r>
          </w:p>
        </w:tc>
        <w:tc>
          <w:tcPr>
            <w:tcW w:w="6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1-3月</w:t>
            </w:r>
          </w:p>
        </w:tc>
        <w:tc>
          <w:tcPr>
            <w:tcW w:w="6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1-4月</w:t>
            </w:r>
          </w:p>
        </w:tc>
        <w:tc>
          <w:tcPr>
            <w:tcW w:w="6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1-5月</w:t>
            </w:r>
          </w:p>
        </w:tc>
        <w:tc>
          <w:tcPr>
            <w:tcW w:w="6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1-6月</w:t>
            </w:r>
          </w:p>
        </w:tc>
        <w:tc>
          <w:tcPr>
            <w:tcW w:w="6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1-7月</w:t>
            </w:r>
          </w:p>
        </w:tc>
        <w:tc>
          <w:tcPr>
            <w:tcW w:w="6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1-8月</w:t>
            </w:r>
          </w:p>
        </w:tc>
        <w:tc>
          <w:tcPr>
            <w:tcW w:w="6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1-9月</w:t>
            </w:r>
          </w:p>
        </w:tc>
        <w:tc>
          <w:tcPr>
            <w:tcW w:w="6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1-10月</w:t>
            </w:r>
          </w:p>
        </w:tc>
        <w:tc>
          <w:tcPr>
            <w:tcW w:w="6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1-11月</w:t>
            </w:r>
          </w:p>
        </w:tc>
        <w:tc>
          <w:tcPr>
            <w:tcW w:w="67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1-12月</w:t>
            </w:r>
          </w:p>
        </w:tc>
      </w:tr>
      <w:tr w:rsidR="004F3E7B" w:rsidRPr="006E634F" w:rsidTr="00987641">
        <w:trPr>
          <w:trHeight w:val="454"/>
          <w:jc w:val="center"/>
        </w:trPr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3E7B" w:rsidRPr="006E634F" w:rsidRDefault="004F3E7B" w:rsidP="00987641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全国增长%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10.7</w:t>
            </w:r>
          </w:p>
        </w:tc>
      </w:tr>
      <w:tr w:rsidR="004F3E7B" w:rsidRPr="006E634F" w:rsidTr="00987641">
        <w:trPr>
          <w:trHeight w:val="454"/>
          <w:jc w:val="center"/>
        </w:trPr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3E7B" w:rsidRPr="006E634F" w:rsidRDefault="004F3E7B" w:rsidP="00987641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全省增长%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9.8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9.8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9.8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9.8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10.1　</w:t>
            </w:r>
          </w:p>
        </w:tc>
      </w:tr>
      <w:tr w:rsidR="004F3E7B" w:rsidRPr="006E634F" w:rsidTr="00987641">
        <w:trPr>
          <w:trHeight w:val="454"/>
          <w:jc w:val="center"/>
        </w:trPr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3E7B" w:rsidRPr="006E634F" w:rsidRDefault="004F3E7B" w:rsidP="00987641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茂名增长%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9.5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9.2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9.4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9.6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9.9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10.6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11.0　</w:t>
            </w:r>
          </w:p>
        </w:tc>
      </w:tr>
      <w:tr w:rsidR="004F3E7B" w:rsidRPr="006E634F" w:rsidTr="00987641">
        <w:trPr>
          <w:trHeight w:val="454"/>
          <w:jc w:val="center"/>
        </w:trPr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3E7B" w:rsidRPr="006E634F" w:rsidRDefault="004F3E7B" w:rsidP="00987641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茂名位次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14　</w:t>
            </w:r>
          </w:p>
        </w:tc>
      </w:tr>
      <w:tr w:rsidR="004F3E7B" w:rsidRPr="006E634F" w:rsidTr="00987641">
        <w:trPr>
          <w:trHeight w:val="454"/>
          <w:jc w:val="center"/>
        </w:trPr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3E7B" w:rsidRPr="006E634F" w:rsidRDefault="004F3E7B" w:rsidP="00987641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湛江位次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3　</w:t>
            </w:r>
          </w:p>
        </w:tc>
      </w:tr>
      <w:tr w:rsidR="004F3E7B" w:rsidRPr="006E634F" w:rsidTr="00987641">
        <w:trPr>
          <w:trHeight w:val="454"/>
          <w:jc w:val="center"/>
        </w:trPr>
        <w:tc>
          <w:tcPr>
            <w:tcW w:w="12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</w:tcPr>
          <w:p w:rsidR="004F3E7B" w:rsidRPr="006E634F" w:rsidRDefault="004F3E7B" w:rsidP="00987641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阳江位次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4F3E7B" w:rsidRPr="006E634F" w:rsidRDefault="004F3E7B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E634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16　</w:t>
            </w:r>
          </w:p>
        </w:tc>
      </w:tr>
    </w:tbl>
    <w:p w:rsidR="004F3E7B" w:rsidRPr="006E634F" w:rsidRDefault="004F3E7B" w:rsidP="004F3E7B">
      <w:pPr>
        <w:widowControl/>
        <w:spacing w:line="240" w:lineRule="exact"/>
        <w:ind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</w:rPr>
      </w:pPr>
    </w:p>
    <w:p w:rsidR="004F3E7B" w:rsidRPr="006E634F" w:rsidRDefault="004F3E7B" w:rsidP="004F3E7B">
      <w:pPr>
        <w:widowControl/>
        <w:spacing w:line="600" w:lineRule="exact"/>
        <w:ind w:firstLineChars="196" w:firstLine="628"/>
        <w:jc w:val="left"/>
        <w:outlineLvl w:val="0"/>
        <w:rPr>
          <w:rFonts w:ascii="楷体_GB2312" w:eastAsia="楷体_GB2312" w:hAnsi="宋体" w:cs="宋体"/>
          <w:b/>
          <w:color w:val="000000" w:themeColor="text1"/>
          <w:kern w:val="0"/>
          <w:sz w:val="32"/>
          <w:szCs w:val="32"/>
        </w:rPr>
      </w:pPr>
      <w:r w:rsidRPr="006E634F">
        <w:rPr>
          <w:rFonts w:ascii="楷体_GB2312" w:eastAsia="楷体_GB2312" w:hAnsi="宋体" w:cs="宋体" w:hint="eastAsia"/>
          <w:b/>
          <w:color w:val="000000" w:themeColor="text1"/>
          <w:kern w:val="0"/>
          <w:sz w:val="32"/>
          <w:szCs w:val="32"/>
        </w:rPr>
        <w:t>（二）城乡市场共同发展，乡村增长相对较快</w:t>
      </w:r>
    </w:p>
    <w:p w:rsidR="004F3E7B" w:rsidRPr="006E634F" w:rsidRDefault="004F3E7B" w:rsidP="004F3E7B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6E634F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2015年，全市城镇市场实现零售额745.41亿元，增长10.7%，比上年回落3.3个百分点。乡村市场实现零售额468.97亿元，增长11.5%，比上年上升4.3个百分点。消费品市场呈现出城乡共同发展，乡村增长相对较好的发展态势。</w:t>
      </w:r>
    </w:p>
    <w:p w:rsidR="004F3E7B" w:rsidRPr="006E634F" w:rsidRDefault="004F3E7B" w:rsidP="004F3E7B">
      <w:pPr>
        <w:widowControl/>
        <w:spacing w:line="600" w:lineRule="exact"/>
        <w:ind w:firstLineChars="200" w:firstLine="640"/>
        <w:jc w:val="left"/>
        <w:outlineLvl w:val="0"/>
        <w:rPr>
          <w:rFonts w:ascii="楷体_GB2312" w:eastAsia="楷体_GB2312" w:hAnsi="宋体" w:cs="宋体"/>
          <w:b/>
          <w:color w:val="000000" w:themeColor="text1"/>
          <w:kern w:val="0"/>
          <w:sz w:val="32"/>
          <w:szCs w:val="32"/>
        </w:rPr>
      </w:pPr>
      <w:r w:rsidRPr="006E634F">
        <w:rPr>
          <w:rFonts w:ascii="楷体_GB2312" w:eastAsia="楷体_GB2312" w:hAnsi="宋体" w:cs="宋体" w:hint="eastAsia"/>
          <w:b/>
          <w:color w:val="000000" w:themeColor="text1"/>
          <w:kern w:val="0"/>
          <w:sz w:val="32"/>
          <w:szCs w:val="32"/>
        </w:rPr>
        <w:t>（三） 批零业相对疲软，住餐业持续回暖</w:t>
      </w:r>
    </w:p>
    <w:p w:rsidR="004F3E7B" w:rsidRPr="006E634F" w:rsidRDefault="004F3E7B" w:rsidP="004F3E7B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6E634F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2015年，全市批发和零售业实现零售额1110.84亿元，增长10.9%，占全市消费品零售总额的91.5%，增速比上年回落1.3个百分点。其中，批发业增长11.8%，零售业增长10.6%；与上年比，批发业上升1.4个百分点，零售业下降2.1个百分点。全市住宿和餐饮业实现零售额103.53亿元，增长11.8%，占全市社会消费品零售总额的8.5%，增速比上年大幅上升9.8个百分点。其中，住宿业增长4.6%，餐饮业增长12.1%；与上年比，住宿业上升2.2个百分点，餐饮业上升10.2个百分点，住宿和餐饮业进一步企稳回升。</w:t>
      </w:r>
    </w:p>
    <w:p w:rsidR="004F3E7B" w:rsidRPr="006E634F" w:rsidRDefault="004F3E7B" w:rsidP="004F3E7B">
      <w:pPr>
        <w:widowControl/>
        <w:spacing w:line="480" w:lineRule="auto"/>
        <w:jc w:val="center"/>
        <w:rPr>
          <w:rFonts w:ascii="宋体" w:hAnsi="宋体" w:cs="宋体"/>
          <w:color w:val="000000" w:themeColor="text1"/>
          <w:kern w:val="0"/>
          <w:sz w:val="24"/>
        </w:rPr>
      </w:pPr>
      <w:r w:rsidRPr="006E634F">
        <w:rPr>
          <w:noProof/>
          <w:color w:val="000000" w:themeColor="text1"/>
        </w:rPr>
        <w:lastRenderedPageBreak/>
        <w:drawing>
          <wp:inline distT="0" distB="0" distL="0" distR="0">
            <wp:extent cx="5362575" cy="27908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100" w:rsidRPr="006E634F" w:rsidRDefault="004F3E7B" w:rsidP="004F3E7B">
      <w:pPr>
        <w:widowControl/>
        <w:spacing w:line="480" w:lineRule="auto"/>
        <w:ind w:firstLineChars="200" w:firstLine="482"/>
        <w:jc w:val="center"/>
        <w:rPr>
          <w:rFonts w:ascii="宋体" w:hAnsi="宋体" w:cs="宋体"/>
          <w:b/>
          <w:color w:val="000000" w:themeColor="text1"/>
          <w:kern w:val="0"/>
          <w:sz w:val="24"/>
        </w:rPr>
      </w:pPr>
      <w:r w:rsidRPr="006E634F">
        <w:rPr>
          <w:rFonts w:ascii="宋体" w:hAnsi="宋体" w:cs="宋体" w:hint="eastAsia"/>
          <w:b/>
          <w:color w:val="000000" w:themeColor="text1"/>
          <w:kern w:val="0"/>
          <w:sz w:val="24"/>
        </w:rPr>
        <w:t>图2　2015年批零住餐业零售总额构成情况</w:t>
      </w:r>
    </w:p>
    <w:sectPr w:rsidR="006E5100" w:rsidRPr="006E634F" w:rsidSect="006E51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691" w:rsidRDefault="00545691" w:rsidP="006E634F">
      <w:r>
        <w:separator/>
      </w:r>
    </w:p>
  </w:endnote>
  <w:endnote w:type="continuationSeparator" w:id="1">
    <w:p w:rsidR="00545691" w:rsidRDefault="00545691" w:rsidP="006E6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691" w:rsidRDefault="00545691" w:rsidP="006E634F">
      <w:r>
        <w:separator/>
      </w:r>
    </w:p>
  </w:footnote>
  <w:footnote w:type="continuationSeparator" w:id="1">
    <w:p w:rsidR="00545691" w:rsidRDefault="00545691" w:rsidP="006E63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3E7B"/>
    <w:rsid w:val="004F3E7B"/>
    <w:rsid w:val="005113E1"/>
    <w:rsid w:val="00545691"/>
    <w:rsid w:val="006E5100"/>
    <w:rsid w:val="006E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E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4F3E7B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3">
    <w:name w:val="Balloon Text"/>
    <w:basedOn w:val="a"/>
    <w:link w:val="Char0"/>
    <w:uiPriority w:val="99"/>
    <w:semiHidden/>
    <w:unhideWhenUsed/>
    <w:rsid w:val="004F3E7B"/>
    <w:rPr>
      <w:sz w:val="18"/>
      <w:szCs w:val="18"/>
    </w:rPr>
  </w:style>
  <w:style w:type="character" w:customStyle="1" w:styleId="Char0">
    <w:name w:val="批注框文本 Char"/>
    <w:basedOn w:val="a0"/>
    <w:link w:val="a3"/>
    <w:uiPriority w:val="99"/>
    <w:semiHidden/>
    <w:rsid w:val="004F3E7B"/>
    <w:rPr>
      <w:rFonts w:ascii="Times New Roman" w:eastAsia="宋体" w:hAnsi="Times New Roman" w:cs="Times New Roman"/>
      <w:sz w:val="18"/>
      <w:szCs w:val="18"/>
    </w:rPr>
  </w:style>
  <w:style w:type="paragraph" w:styleId="a4">
    <w:name w:val="Document Map"/>
    <w:basedOn w:val="a"/>
    <w:link w:val="Char1"/>
    <w:uiPriority w:val="99"/>
    <w:semiHidden/>
    <w:unhideWhenUsed/>
    <w:rsid w:val="006E634F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4"/>
    <w:uiPriority w:val="99"/>
    <w:semiHidden/>
    <w:rsid w:val="006E634F"/>
    <w:rPr>
      <w:rFonts w:ascii="宋体" w:eastAsia="宋体" w:hAnsi="Times New Roman" w:cs="Times New Roman"/>
      <w:sz w:val="18"/>
      <w:szCs w:val="18"/>
    </w:rPr>
  </w:style>
  <w:style w:type="paragraph" w:styleId="a5">
    <w:name w:val="header"/>
    <w:basedOn w:val="a"/>
    <w:link w:val="Char2"/>
    <w:uiPriority w:val="99"/>
    <w:semiHidden/>
    <w:unhideWhenUsed/>
    <w:rsid w:val="006E6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5"/>
    <w:uiPriority w:val="99"/>
    <w:semiHidden/>
    <w:rsid w:val="006E634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3"/>
    <w:uiPriority w:val="99"/>
    <w:semiHidden/>
    <w:unhideWhenUsed/>
    <w:rsid w:val="006E6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6"/>
    <w:uiPriority w:val="99"/>
    <w:semiHidden/>
    <w:rsid w:val="006E63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124</Words>
  <Characters>708</Characters>
  <Application>Microsoft Office Word</Application>
  <DocSecurity>0</DocSecurity>
  <Lines>5</Lines>
  <Paragraphs>1</Paragraphs>
  <ScaleCrop>false</ScaleCrop>
  <Company>P R C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2017-02-04T06:46:00Z</dcterms:created>
  <dcterms:modified xsi:type="dcterms:W3CDTF">2017-07-27T01:37:00Z</dcterms:modified>
</cp:coreProperties>
</file>