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713" w:rsidRPr="0070550F" w:rsidRDefault="00D72713" w:rsidP="00D72713">
      <w:pPr>
        <w:pStyle w:val="a3"/>
        <w:shd w:val="clear" w:color="auto" w:fill="FFFFFF"/>
        <w:spacing w:before="0" w:beforeAutospacing="0" w:after="0" w:afterAutospacing="0" w:line="600" w:lineRule="exact"/>
        <w:ind w:firstLineChars="295" w:firstLine="944"/>
        <w:outlineLvl w:val="4"/>
        <w:rPr>
          <w:rFonts w:ascii="仿宋_GB2312" w:eastAsia="仿宋_GB2312"/>
          <w:b/>
          <w:color w:val="000000" w:themeColor="text1"/>
          <w:sz w:val="32"/>
          <w:szCs w:val="32"/>
        </w:rPr>
      </w:pPr>
      <w:r w:rsidRPr="0070550F">
        <w:rPr>
          <w:rFonts w:ascii="仿宋_GB2312" w:eastAsia="仿宋_GB2312" w:hAnsi="Arial" w:cs="Arial" w:hint="eastAsia"/>
          <w:color w:val="000000" w:themeColor="text1"/>
          <w:sz w:val="32"/>
          <w:szCs w:val="32"/>
        </w:rPr>
        <w:t>图2</w:t>
      </w:r>
      <w:r w:rsidRPr="0070550F">
        <w:rPr>
          <w:rFonts w:ascii="仿宋_GB2312" w:eastAsia="仿宋_GB2312" w:hAnsi="Arial" w:cs="Arial" w:hint="eastAsia"/>
          <w:b/>
          <w:color w:val="000000" w:themeColor="text1"/>
          <w:sz w:val="32"/>
          <w:szCs w:val="32"/>
        </w:rPr>
        <w:t xml:space="preserve">  </w:t>
      </w:r>
      <w:r w:rsidRPr="0070550F">
        <w:rPr>
          <w:rFonts w:ascii="仿宋_GB2312" w:eastAsia="仿宋_GB2312" w:hint="eastAsia"/>
          <w:b/>
          <w:color w:val="000000" w:themeColor="text1"/>
          <w:sz w:val="32"/>
          <w:szCs w:val="32"/>
        </w:rPr>
        <w:t>2014-2015年房地产开发投资增速对比图</w:t>
      </w:r>
    </w:p>
    <w:p w:rsidR="00D72713" w:rsidRPr="0070550F" w:rsidRDefault="00D72713" w:rsidP="00D72713">
      <w:pPr>
        <w:ind w:leftChars="-257" w:left="-540" w:right="640" w:firstLineChars="85" w:firstLine="178"/>
        <w:jc w:val="center"/>
        <w:rPr>
          <w:color w:val="000000" w:themeColor="text1"/>
        </w:rPr>
      </w:pPr>
      <w:r w:rsidRPr="0070550F">
        <w:rPr>
          <w:noProof/>
          <w:color w:val="000000" w:themeColor="text1"/>
        </w:rPr>
        <w:drawing>
          <wp:inline distT="0" distB="0" distL="0" distR="0">
            <wp:extent cx="5600700" cy="29241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2713" w:rsidRPr="0070550F" w:rsidRDefault="00D72713" w:rsidP="00D72713">
      <w:pPr>
        <w:pStyle w:val="a3"/>
        <w:shd w:val="clear" w:color="auto" w:fill="FFFFFF"/>
        <w:spacing w:before="0" w:beforeAutospacing="0" w:after="0" w:afterAutospacing="0" w:line="600" w:lineRule="exact"/>
        <w:ind w:firstLineChars="250" w:firstLine="800"/>
        <w:outlineLvl w:val="4"/>
        <w:rPr>
          <w:rFonts w:ascii="仿宋_GB2312" w:eastAsia="仿宋_GB2312"/>
          <w:b/>
          <w:color w:val="000000" w:themeColor="text1"/>
          <w:sz w:val="32"/>
          <w:szCs w:val="32"/>
        </w:rPr>
      </w:pPr>
      <w:r w:rsidRPr="0070550F">
        <w:rPr>
          <w:rFonts w:ascii="仿宋_GB2312" w:eastAsia="仿宋_GB2312" w:hint="eastAsia"/>
          <w:color w:val="000000" w:themeColor="text1"/>
          <w:sz w:val="32"/>
          <w:szCs w:val="32"/>
        </w:rPr>
        <w:t xml:space="preserve">表2  </w:t>
      </w:r>
      <w:r w:rsidRPr="0070550F">
        <w:rPr>
          <w:rFonts w:ascii="仿宋_GB2312" w:eastAsia="仿宋_GB2312" w:hint="eastAsia"/>
          <w:b/>
          <w:color w:val="000000" w:themeColor="text1"/>
          <w:sz w:val="32"/>
          <w:szCs w:val="32"/>
        </w:rPr>
        <w:t>2014-2015年全市在建亿元项目投资对比表</w:t>
      </w:r>
    </w:p>
    <w:p w:rsidR="00D72713" w:rsidRPr="0070550F" w:rsidRDefault="00D72713" w:rsidP="00D72713">
      <w:pPr>
        <w:pStyle w:val="a3"/>
        <w:shd w:val="clear" w:color="auto" w:fill="FFFFFF"/>
        <w:spacing w:before="0" w:beforeAutospacing="0" w:after="0" w:afterAutospacing="0" w:line="600" w:lineRule="exact"/>
        <w:ind w:firstLine="480"/>
        <w:outlineLvl w:val="4"/>
        <w:rPr>
          <w:rFonts w:ascii="仿宋_GB2312" w:eastAsia="仿宋_GB2312"/>
          <w:color w:val="000000" w:themeColor="text1"/>
          <w:sz w:val="32"/>
          <w:szCs w:val="32"/>
        </w:rPr>
      </w:pPr>
      <w:r w:rsidRPr="0070550F">
        <w:rPr>
          <w:rFonts w:ascii="仿宋_GB2312" w:eastAsia="仿宋_GB2312" w:hint="eastAsia"/>
          <w:b/>
          <w:color w:val="000000" w:themeColor="text1"/>
          <w:sz w:val="32"/>
          <w:szCs w:val="32"/>
        </w:rPr>
        <w:t xml:space="preserve">                                    </w:t>
      </w:r>
      <w:r w:rsidRPr="0070550F">
        <w:rPr>
          <w:rFonts w:ascii="仿宋_GB2312" w:eastAsia="仿宋_GB2312" w:hint="eastAsia"/>
          <w:color w:val="000000" w:themeColor="text1"/>
          <w:sz w:val="32"/>
          <w:szCs w:val="32"/>
        </w:rPr>
        <w:t>单位：亿元、%</w:t>
      </w:r>
    </w:p>
    <w:tbl>
      <w:tblPr>
        <w:tblW w:w="93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1024"/>
        <w:gridCol w:w="956"/>
        <w:gridCol w:w="741"/>
        <w:gridCol w:w="984"/>
        <w:gridCol w:w="900"/>
        <w:gridCol w:w="741"/>
        <w:gridCol w:w="879"/>
        <w:gridCol w:w="899"/>
        <w:gridCol w:w="796"/>
      </w:tblGrid>
      <w:tr w:rsidR="00D72713" w:rsidRPr="0070550F" w:rsidTr="009546B8">
        <w:tc>
          <w:tcPr>
            <w:tcW w:w="1440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pStyle w:val="a3"/>
              <w:spacing w:before="0" w:beforeAutospacing="0" w:after="0" w:afterAutospacing="0" w:line="600" w:lineRule="exact"/>
              <w:jc w:val="center"/>
              <w:outlineLvl w:val="4"/>
              <w:rPr>
                <w:rFonts w:ascii="仿宋_GB2312" w:eastAsia="仿宋_GB2312"/>
                <w:color w:val="000000" w:themeColor="text1"/>
                <w:kern w:val="2"/>
                <w:sz w:val="21"/>
                <w:szCs w:val="21"/>
              </w:rPr>
            </w:pPr>
          </w:p>
        </w:tc>
        <w:tc>
          <w:tcPr>
            <w:tcW w:w="272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13" w:rsidRPr="0070550F" w:rsidRDefault="00D72713" w:rsidP="009546B8">
            <w:pPr>
              <w:pStyle w:val="a3"/>
              <w:spacing w:before="0" w:beforeAutospacing="0" w:after="0" w:afterAutospacing="0" w:line="600" w:lineRule="exact"/>
              <w:jc w:val="center"/>
              <w:outlineLvl w:val="4"/>
              <w:rPr>
                <w:rFonts w:ascii="仿宋_GB2312" w:eastAsia="仿宋_GB2312"/>
                <w:color w:val="000000" w:themeColor="text1"/>
                <w:kern w:val="2"/>
                <w:sz w:val="21"/>
                <w:szCs w:val="21"/>
              </w:rPr>
            </w:pPr>
            <w:r w:rsidRPr="0070550F">
              <w:rPr>
                <w:rFonts w:ascii="仿宋_GB2312" w:eastAsia="仿宋_GB2312" w:hint="eastAsia"/>
                <w:color w:val="000000" w:themeColor="text1"/>
                <w:kern w:val="2"/>
                <w:sz w:val="21"/>
                <w:szCs w:val="21"/>
              </w:rPr>
              <w:t>个  数</w:t>
            </w:r>
          </w:p>
        </w:tc>
        <w:tc>
          <w:tcPr>
            <w:tcW w:w="262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13" w:rsidRPr="0070550F" w:rsidRDefault="00D72713" w:rsidP="009546B8">
            <w:pPr>
              <w:pStyle w:val="a3"/>
              <w:spacing w:before="0" w:beforeAutospacing="0" w:after="0" w:afterAutospacing="0" w:line="600" w:lineRule="exact"/>
              <w:jc w:val="center"/>
              <w:outlineLvl w:val="4"/>
              <w:rPr>
                <w:rFonts w:ascii="仿宋_GB2312" w:eastAsia="仿宋_GB2312"/>
                <w:color w:val="000000" w:themeColor="text1"/>
                <w:kern w:val="2"/>
                <w:sz w:val="21"/>
                <w:szCs w:val="21"/>
              </w:rPr>
            </w:pPr>
            <w:r w:rsidRPr="0070550F">
              <w:rPr>
                <w:rFonts w:ascii="仿宋_GB2312" w:eastAsia="仿宋_GB2312" w:hint="eastAsia"/>
                <w:color w:val="000000" w:themeColor="text1"/>
                <w:kern w:val="2"/>
                <w:sz w:val="21"/>
                <w:szCs w:val="21"/>
              </w:rPr>
              <w:t>计 划 总 投 资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2713" w:rsidRPr="0070550F" w:rsidRDefault="00D72713" w:rsidP="009546B8">
            <w:pPr>
              <w:pStyle w:val="a3"/>
              <w:spacing w:before="0" w:beforeAutospacing="0" w:after="0" w:afterAutospacing="0" w:line="600" w:lineRule="exact"/>
              <w:jc w:val="center"/>
              <w:outlineLvl w:val="4"/>
              <w:rPr>
                <w:rFonts w:ascii="仿宋_GB2312" w:eastAsia="仿宋_GB2312"/>
                <w:color w:val="000000" w:themeColor="text1"/>
                <w:kern w:val="2"/>
                <w:sz w:val="21"/>
                <w:szCs w:val="21"/>
              </w:rPr>
            </w:pPr>
            <w:r w:rsidRPr="0070550F">
              <w:rPr>
                <w:rFonts w:ascii="仿宋_GB2312" w:eastAsia="仿宋_GB2312" w:hint="eastAsia"/>
                <w:color w:val="000000" w:themeColor="text1"/>
                <w:kern w:val="2"/>
                <w:sz w:val="21"/>
                <w:szCs w:val="21"/>
              </w:rPr>
              <w:t>完 成 投 资</w:t>
            </w:r>
          </w:p>
        </w:tc>
      </w:tr>
      <w:tr w:rsidR="00D72713" w:rsidRPr="0070550F" w:rsidTr="009546B8">
        <w:trPr>
          <w:trHeight w:val="573"/>
        </w:trPr>
        <w:tc>
          <w:tcPr>
            <w:tcW w:w="1440" w:type="dxa"/>
            <w:vMerge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2015年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2014年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同比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2015年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2014年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同比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2015年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2014年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同比</w:t>
            </w:r>
          </w:p>
        </w:tc>
      </w:tr>
      <w:tr w:rsidR="00D72713" w:rsidRPr="0070550F" w:rsidTr="009546B8">
        <w:trPr>
          <w:trHeight w:val="567"/>
        </w:trPr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亿元项目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119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104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14.4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525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751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  <w:t>-30.0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180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174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  <w:t>3.4</w:t>
            </w:r>
          </w:p>
        </w:tc>
      </w:tr>
      <w:tr w:rsidR="00D72713" w:rsidRPr="0070550F" w:rsidTr="009546B8"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spacing w:line="280" w:lineRule="exact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其中5亿元以上项目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16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18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-11.1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293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559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  <w:t>-47.5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69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109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  <w:t>6.3</w:t>
            </w:r>
          </w:p>
        </w:tc>
      </w:tr>
      <w:tr w:rsidR="00D72713" w:rsidRPr="0070550F" w:rsidTr="009546B8">
        <w:tc>
          <w:tcPr>
            <w:tcW w:w="14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spacing w:line="280" w:lineRule="exact"/>
              <w:ind w:firstLineChars="200" w:firstLine="420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10亿元以上项目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12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-33.3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237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515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  <w:t>-54.0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59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93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D72713" w:rsidRPr="0070550F" w:rsidRDefault="00D72713" w:rsidP="009546B8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70550F"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  <w:t>-36.9</w:t>
            </w:r>
          </w:p>
        </w:tc>
      </w:tr>
    </w:tbl>
    <w:p w:rsidR="00D72713" w:rsidRPr="0070550F" w:rsidRDefault="00D72713" w:rsidP="00D72713">
      <w:pPr>
        <w:spacing w:line="320" w:lineRule="exact"/>
        <w:ind w:firstLineChars="200" w:firstLine="640"/>
        <w:rPr>
          <w:rFonts w:ascii="黑体" w:eastAsia="黑体"/>
          <w:color w:val="000000" w:themeColor="text1"/>
          <w:sz w:val="32"/>
          <w:szCs w:val="32"/>
        </w:rPr>
      </w:pPr>
    </w:p>
    <w:p w:rsidR="00D72713" w:rsidRPr="0070550F" w:rsidRDefault="00D72713" w:rsidP="00D72713">
      <w:pPr>
        <w:spacing w:line="600" w:lineRule="exact"/>
        <w:ind w:firstLineChars="200" w:firstLine="640"/>
        <w:rPr>
          <w:rFonts w:ascii="黑体" w:eastAsia="黑体"/>
          <w:color w:val="000000" w:themeColor="text1"/>
          <w:sz w:val="32"/>
          <w:szCs w:val="32"/>
        </w:rPr>
      </w:pPr>
      <w:r w:rsidRPr="0070550F">
        <w:rPr>
          <w:rFonts w:ascii="黑体" w:eastAsia="黑体" w:hint="eastAsia"/>
          <w:color w:val="000000" w:themeColor="text1"/>
          <w:sz w:val="32"/>
          <w:szCs w:val="32"/>
        </w:rPr>
        <w:t>三、2016年投资形势展望及建议</w:t>
      </w:r>
    </w:p>
    <w:p w:rsidR="00D72713" w:rsidRPr="0070550F" w:rsidRDefault="00D72713" w:rsidP="00D72713">
      <w:pPr>
        <w:spacing w:line="60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70550F">
        <w:rPr>
          <w:rFonts w:ascii="仿宋_GB2312" w:eastAsia="仿宋_GB2312" w:hint="eastAsia"/>
          <w:color w:val="000000" w:themeColor="text1"/>
          <w:sz w:val="32"/>
          <w:szCs w:val="32"/>
        </w:rPr>
        <w:t>2016年，经过前几年高速增长之后，投资基数攀高，增速难以维持高位增长。为确保2016年投资继续适度增长，应重点抓好如下方面工作：一是</w:t>
      </w:r>
      <w:r w:rsidRPr="0070550F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加大推进省重点项目及“三大平台”重大项目建设力度，对列入“十三五”规划和市委、市政</w:t>
      </w:r>
      <w:r w:rsidRPr="0070550F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lastRenderedPageBreak/>
        <w:t>府已经确定的重大建设项目，特别是市政、公路、农林水利、节能环保等基础设施和区域发展与产业转移等领域项目，有关部门要加强沟通协调，通力合作，抓紧办理相关审核和项目立项手续，争取尽早获批</w:t>
      </w:r>
      <w:r w:rsidRPr="0070550F">
        <w:rPr>
          <w:rFonts w:ascii="仿宋_GB2312" w:eastAsia="仿宋_GB2312" w:hint="eastAsia"/>
          <w:color w:val="000000" w:themeColor="text1"/>
          <w:sz w:val="32"/>
          <w:szCs w:val="32"/>
        </w:rPr>
        <w:t>；</w:t>
      </w:r>
      <w:r w:rsidRPr="0070550F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二是鼓励企业</w:t>
      </w:r>
      <w:r w:rsidRPr="0070550F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创新投资，推动企业技术改造；</w:t>
      </w:r>
      <w:r w:rsidRPr="0070550F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三是要</w:t>
      </w:r>
      <w:r w:rsidRPr="0070550F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因地制宜加大新兴产业的招商引资力度，争取更多的新兴产业项目在我市落地生根，增加全市投资增长的新亮点，从而推进全市经济转型升级；</w:t>
      </w:r>
      <w:r w:rsidRPr="0070550F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四是</w:t>
      </w:r>
      <w:r w:rsidRPr="0070550F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进一步加大固定资产投资工作的督导力度，要加强对各区（市）固定资产投资形势调研与预警监测，及时掌握全市投资动态和影响因素。</w:t>
      </w:r>
    </w:p>
    <w:p w:rsidR="00D72713" w:rsidRPr="0070550F" w:rsidRDefault="00D72713" w:rsidP="00D72713">
      <w:pPr>
        <w:rPr>
          <w:rFonts w:ascii="仿宋_GB2312" w:eastAsia="仿宋_GB2312"/>
          <w:color w:val="000000" w:themeColor="text1"/>
          <w:sz w:val="32"/>
          <w:szCs w:val="32"/>
        </w:rPr>
      </w:pPr>
    </w:p>
    <w:p w:rsidR="006B3A2A" w:rsidRPr="0070550F" w:rsidRDefault="00D72713">
      <w:pPr>
        <w:rPr>
          <w:color w:val="000000" w:themeColor="text1"/>
        </w:rPr>
      </w:pPr>
      <w:r w:rsidRPr="0070550F">
        <w:rPr>
          <w:rFonts w:ascii="仿宋_GB2312" w:eastAsia="仿宋_GB2312" w:hint="eastAsia"/>
          <w:color w:val="000000" w:themeColor="text1"/>
          <w:sz w:val="32"/>
          <w:szCs w:val="32"/>
        </w:rPr>
        <w:t xml:space="preserve">                                  （撰稿：崔茂海）</w:t>
      </w:r>
    </w:p>
    <w:sectPr w:rsidR="006B3A2A" w:rsidRPr="0070550F" w:rsidSect="006B3A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929" w:rsidRDefault="00CC2929" w:rsidP="0070550F">
      <w:r>
        <w:separator/>
      </w:r>
    </w:p>
  </w:endnote>
  <w:endnote w:type="continuationSeparator" w:id="1">
    <w:p w:rsidR="00CC2929" w:rsidRDefault="00CC2929" w:rsidP="00705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929" w:rsidRDefault="00CC2929" w:rsidP="0070550F">
      <w:r>
        <w:separator/>
      </w:r>
    </w:p>
  </w:footnote>
  <w:footnote w:type="continuationSeparator" w:id="1">
    <w:p w:rsidR="00CC2929" w:rsidRDefault="00CC2929" w:rsidP="007055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2713"/>
    <w:rsid w:val="006B3A2A"/>
    <w:rsid w:val="0070550F"/>
    <w:rsid w:val="00797B9E"/>
    <w:rsid w:val="00CC2929"/>
    <w:rsid w:val="00D72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1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7271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Balloon Text"/>
    <w:basedOn w:val="a"/>
    <w:link w:val="Char"/>
    <w:uiPriority w:val="99"/>
    <w:semiHidden/>
    <w:unhideWhenUsed/>
    <w:rsid w:val="00D7271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72713"/>
    <w:rPr>
      <w:rFonts w:ascii="Times New Roman" w:eastAsia="宋体" w:hAnsi="Times New Roman" w:cs="Times New Roman"/>
      <w:sz w:val="18"/>
      <w:szCs w:val="18"/>
    </w:rPr>
  </w:style>
  <w:style w:type="paragraph" w:styleId="a5">
    <w:name w:val="Document Map"/>
    <w:basedOn w:val="a"/>
    <w:link w:val="Char0"/>
    <w:uiPriority w:val="99"/>
    <w:semiHidden/>
    <w:unhideWhenUsed/>
    <w:rsid w:val="0070550F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5"/>
    <w:uiPriority w:val="99"/>
    <w:semiHidden/>
    <w:rsid w:val="0070550F"/>
    <w:rPr>
      <w:rFonts w:ascii="宋体" w:eastAsia="宋体" w:hAnsi="Times New Roman" w:cs="Times New Roman"/>
      <w:sz w:val="18"/>
      <w:szCs w:val="18"/>
    </w:rPr>
  </w:style>
  <w:style w:type="paragraph" w:styleId="a6">
    <w:name w:val="header"/>
    <w:basedOn w:val="a"/>
    <w:link w:val="Char1"/>
    <w:uiPriority w:val="99"/>
    <w:semiHidden/>
    <w:unhideWhenUsed/>
    <w:rsid w:val="007055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70550F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2"/>
    <w:uiPriority w:val="99"/>
    <w:semiHidden/>
    <w:unhideWhenUsed/>
    <w:rsid w:val="007055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semiHidden/>
    <w:rsid w:val="0070550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108</Words>
  <Characters>616</Characters>
  <Application>Microsoft Office Word</Application>
  <DocSecurity>0</DocSecurity>
  <Lines>5</Lines>
  <Paragraphs>1</Paragraphs>
  <ScaleCrop>false</ScaleCrop>
  <Company>P R C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2017-02-04T03:25:00Z</dcterms:created>
  <dcterms:modified xsi:type="dcterms:W3CDTF">2017-07-27T01:36:00Z</dcterms:modified>
</cp:coreProperties>
</file>