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85" w:rsidRPr="00795002" w:rsidRDefault="00EA4685" w:rsidP="00EA4685">
      <w:pPr>
        <w:spacing w:line="560" w:lineRule="exact"/>
        <w:jc w:val="center"/>
        <w:rPr>
          <w:rFonts w:ascii="小标宋" w:eastAsia="小标宋"/>
          <w:color w:val="000000" w:themeColor="text1"/>
          <w:sz w:val="44"/>
          <w:szCs w:val="44"/>
        </w:rPr>
      </w:pPr>
    </w:p>
    <w:p w:rsidR="00EA4685" w:rsidRPr="00795002" w:rsidRDefault="00EA4685" w:rsidP="00EA4685">
      <w:pPr>
        <w:jc w:val="center"/>
        <w:rPr>
          <w:rFonts w:ascii="小标宋" w:eastAsia="小标宋"/>
          <w:color w:val="000000" w:themeColor="text1"/>
          <w:sz w:val="44"/>
          <w:szCs w:val="44"/>
        </w:rPr>
      </w:pPr>
      <w:r w:rsidRPr="00795002">
        <w:rPr>
          <w:rFonts w:ascii="小标宋" w:eastAsia="小标宋" w:hint="eastAsia"/>
          <w:color w:val="000000" w:themeColor="text1"/>
          <w:sz w:val="44"/>
          <w:szCs w:val="44"/>
        </w:rPr>
        <w:t>2015年我市固定资产投资突破1000亿</w:t>
      </w:r>
    </w:p>
    <w:p w:rsidR="00EA4685" w:rsidRPr="00795002" w:rsidRDefault="00EA4685" w:rsidP="00EA4685">
      <w:pPr>
        <w:spacing w:line="420" w:lineRule="exact"/>
        <w:rPr>
          <w:rFonts w:ascii="方正小标宋简体" w:eastAsia="方正小标宋简体"/>
          <w:color w:val="000000" w:themeColor="text1"/>
          <w:sz w:val="24"/>
        </w:rPr>
      </w:pPr>
    </w:p>
    <w:p w:rsidR="00EA4685" w:rsidRPr="00795002" w:rsidRDefault="00EA4685" w:rsidP="00EA4685">
      <w:pPr>
        <w:spacing w:line="420" w:lineRule="exact"/>
        <w:rPr>
          <w:rFonts w:ascii="方正小标宋简体" w:eastAsia="方正小标宋简体"/>
          <w:color w:val="000000" w:themeColor="text1"/>
          <w:sz w:val="24"/>
        </w:rPr>
      </w:pPr>
    </w:p>
    <w:p w:rsidR="00EA4685" w:rsidRPr="00795002" w:rsidRDefault="00EA4685" w:rsidP="00EA4685">
      <w:pPr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795002">
        <w:rPr>
          <w:rFonts w:ascii="仿宋_GB2312" w:eastAsia="仿宋_GB2312" w:hint="eastAsia"/>
          <w:color w:val="000000" w:themeColor="text1"/>
          <w:sz w:val="32"/>
          <w:szCs w:val="32"/>
        </w:rPr>
        <w:t>2015年，我市全面实施“一体两翼三大抓手”的发展思路，全力推进项目投资建设，</w:t>
      </w:r>
      <w:r w:rsidRPr="00795002">
        <w:rPr>
          <w:rFonts w:ascii="仿宋_GB2312" w:eastAsia="仿宋_GB2312" w:hAnsi="仿宋" w:hint="eastAsia"/>
          <w:color w:val="000000" w:themeColor="text1"/>
          <w:sz w:val="32"/>
          <w:szCs w:val="32"/>
        </w:rPr>
        <w:t>固定资产投资持续高位运行</w:t>
      </w:r>
      <w:r w:rsidRPr="00795002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795002">
        <w:rPr>
          <w:rFonts w:ascii="仿宋_GB2312" w:eastAsia="仿宋_GB2312" w:hAnsi="宋体" w:cs="Arial" w:hint="eastAsia"/>
          <w:color w:val="000000" w:themeColor="text1"/>
          <w:kern w:val="0"/>
          <w:sz w:val="32"/>
          <w:szCs w:val="32"/>
        </w:rPr>
        <w:t>全市完成固定资产投资1115.50亿元，增长28.0%，</w:t>
      </w:r>
      <w:r w:rsidRPr="00795002">
        <w:rPr>
          <w:rFonts w:ascii="仿宋_GB2312" w:eastAsia="仿宋_GB2312" w:hAnsi="宋体" w:hint="eastAsia"/>
          <w:color w:val="000000" w:themeColor="text1"/>
          <w:sz w:val="32"/>
          <w:szCs w:val="32"/>
        </w:rPr>
        <w:t>其中，项目投资1012.83亿元，增长34.1%；房地产开发投资102.67亿元，增长8.0%。</w:t>
      </w:r>
    </w:p>
    <w:p w:rsidR="00EA4685" w:rsidRPr="00795002" w:rsidRDefault="00EA4685" w:rsidP="00EA4685">
      <w:pPr>
        <w:ind w:firstLineChars="250" w:firstLine="800"/>
        <w:rPr>
          <w:rFonts w:ascii="方正小标宋简体" w:eastAsia="黑体" w:hAnsi="ˎ̥" w:hint="eastAsia"/>
          <w:color w:val="000000" w:themeColor="text1"/>
          <w:sz w:val="32"/>
          <w:szCs w:val="32"/>
        </w:rPr>
      </w:pPr>
      <w:r w:rsidRPr="00795002">
        <w:rPr>
          <w:rFonts w:ascii="仿宋_GB2312" w:eastAsia="黑体" w:hint="eastAsia"/>
          <w:color w:val="000000" w:themeColor="text1"/>
          <w:sz w:val="32"/>
          <w:szCs w:val="32"/>
        </w:rPr>
        <w:t>一、投资</w:t>
      </w:r>
      <w:r w:rsidRPr="00795002">
        <w:rPr>
          <w:rFonts w:ascii="方正小标宋简体" w:eastAsia="黑体" w:hAnsi="ˎ̥" w:hint="eastAsia"/>
          <w:color w:val="000000" w:themeColor="text1"/>
          <w:sz w:val="32"/>
          <w:szCs w:val="32"/>
        </w:rPr>
        <w:t>运行情况</w:t>
      </w:r>
    </w:p>
    <w:p w:rsidR="00EA4685" w:rsidRPr="00795002" w:rsidRDefault="00EA4685" w:rsidP="00795002">
      <w:pPr>
        <w:widowControl/>
        <w:shd w:val="clear" w:color="auto" w:fill="FFFFFF"/>
        <w:tabs>
          <w:tab w:val="left" w:pos="720"/>
        </w:tabs>
        <w:spacing w:beforeLines="50" w:afterLines="50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795002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（一）投资总量攀高。</w:t>
      </w:r>
      <w:r w:rsidRPr="0079500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2015年我市把投资拉动作为“保增长、扩内需、促发展”的首要任务来抓，努力改善投资环境，加大招商引资工作力度。全年全市固定资产投资总量突破1000亿元，达到1115.50亿元，总量排全省</w:t>
      </w:r>
      <w:r w:rsidRPr="0079500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第12位，增速居全省第3位。</w:t>
      </w:r>
    </w:p>
    <w:p w:rsidR="00EA4685" w:rsidRPr="00795002" w:rsidRDefault="00EA4685" w:rsidP="00795002">
      <w:pPr>
        <w:widowControl/>
        <w:shd w:val="clear" w:color="auto" w:fill="FFFFFF"/>
        <w:spacing w:beforeLines="50" w:afterLines="50" w:line="520" w:lineRule="atLeast"/>
        <w:ind w:firstLineChars="300" w:firstLine="96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79500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表1  </w:t>
      </w:r>
      <w:r w:rsidRPr="00795002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湛茂阳2015年投资总量增速全省排位表</w:t>
      </w:r>
    </w:p>
    <w:tbl>
      <w:tblPr>
        <w:tblW w:w="9360" w:type="dxa"/>
        <w:tblInd w:w="-432" w:type="dxa"/>
        <w:tblLayout w:type="fixed"/>
        <w:tblLook w:val="04A0"/>
      </w:tblPr>
      <w:tblGrid>
        <w:gridCol w:w="900"/>
        <w:gridCol w:w="720"/>
        <w:gridCol w:w="720"/>
        <w:gridCol w:w="675"/>
        <w:gridCol w:w="709"/>
        <w:gridCol w:w="709"/>
        <w:gridCol w:w="709"/>
        <w:gridCol w:w="708"/>
        <w:gridCol w:w="662"/>
        <w:gridCol w:w="709"/>
        <w:gridCol w:w="709"/>
        <w:gridCol w:w="708"/>
        <w:gridCol w:w="722"/>
      </w:tblGrid>
      <w:tr w:rsidR="00EA4685" w:rsidRPr="00795002" w:rsidTr="009546B8">
        <w:trPr>
          <w:trHeight w:val="600"/>
        </w:trPr>
        <w:tc>
          <w:tcPr>
            <w:tcW w:w="90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211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 w:val="24"/>
              </w:rPr>
              <w:t>一季度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 w:val="24"/>
              </w:rPr>
              <w:t>上半年</w:t>
            </w:r>
          </w:p>
        </w:tc>
        <w:tc>
          <w:tcPr>
            <w:tcW w:w="207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 w:val="24"/>
              </w:rPr>
              <w:t>前三季度</w:t>
            </w:r>
          </w:p>
        </w:tc>
        <w:tc>
          <w:tcPr>
            <w:tcW w:w="213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 w:val="24"/>
              </w:rPr>
              <w:t>全年</w:t>
            </w:r>
          </w:p>
        </w:tc>
      </w:tr>
      <w:tr w:rsidR="00EA4685" w:rsidRPr="00795002" w:rsidTr="009546B8">
        <w:trPr>
          <w:trHeight w:val="600"/>
        </w:trPr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jc w:val="left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湛江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茂名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阳江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湛江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茂名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阳江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湛江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茂名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阳江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湛江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茂名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阳江</w:t>
            </w:r>
          </w:p>
        </w:tc>
      </w:tr>
      <w:tr w:rsidR="00EA4685" w:rsidRPr="00795002" w:rsidTr="009546B8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300" w:lineRule="exact"/>
              <w:ind w:leftChars="-28" w:left="-59" w:firstLineChars="24" w:firstLine="50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总 量</w:t>
            </w:r>
          </w:p>
          <w:p w:rsidR="00EA4685" w:rsidRPr="00795002" w:rsidRDefault="00EA4685" w:rsidP="009546B8">
            <w:pPr>
              <w:widowControl/>
              <w:spacing w:line="3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(亿元)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spacing w:line="400" w:lineRule="exact"/>
              <w:jc w:val="center"/>
              <w:rPr>
                <w:rFonts w:ascii="仿宋_GB2312" w:eastAsia="仿宋_GB2312" w:hAnsi="宋体" w:cs="Arial"/>
                <w:color w:val="000000" w:themeColor="text1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color w:val="000000" w:themeColor="text1"/>
                <w:szCs w:val="21"/>
              </w:rPr>
              <w:t xml:space="preserve">443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spacing w:line="400" w:lineRule="exact"/>
              <w:jc w:val="center"/>
              <w:rPr>
                <w:rFonts w:ascii="仿宋_GB2312" w:eastAsia="仿宋_GB2312" w:hAnsi="宋体" w:cs="Arial"/>
                <w:color w:val="000000" w:themeColor="text1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color w:val="000000" w:themeColor="text1"/>
                <w:szCs w:val="21"/>
              </w:rPr>
              <w:t xml:space="preserve">264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szCs w:val="21"/>
              </w:rPr>
              <w:t xml:space="preserve">706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szCs w:val="21"/>
              </w:rPr>
              <w:t xml:space="preserve">428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1116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691</w:t>
            </w:r>
          </w:p>
        </w:tc>
      </w:tr>
      <w:tr w:rsidR="00EA4685" w:rsidRPr="00795002" w:rsidTr="009546B8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总量全</w:t>
            </w:r>
          </w:p>
          <w:p w:rsidR="00EA4685" w:rsidRPr="00795002" w:rsidRDefault="00EA4685" w:rsidP="009546B8">
            <w:pPr>
              <w:widowControl/>
              <w:spacing w:line="3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省排位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16</w:t>
            </w:r>
          </w:p>
        </w:tc>
      </w:tr>
      <w:tr w:rsidR="00EA4685" w:rsidRPr="00795002" w:rsidTr="009546B8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3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增速(%)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33.0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31.1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 w:val="18"/>
                <w:szCs w:val="18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 w:val="18"/>
                <w:szCs w:val="18"/>
              </w:rPr>
              <w:t>-12.0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32.8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30.4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4.8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33.3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30.8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2.6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28.7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4.4</w:t>
            </w:r>
          </w:p>
        </w:tc>
      </w:tr>
      <w:tr w:rsidR="00EA4685" w:rsidRPr="00795002" w:rsidTr="009546B8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增速全</w:t>
            </w:r>
          </w:p>
          <w:p w:rsidR="00EA4685" w:rsidRPr="00795002" w:rsidRDefault="00EA4685" w:rsidP="009546B8">
            <w:pPr>
              <w:widowControl/>
              <w:spacing w:line="36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Cs w:val="21"/>
              </w:rPr>
              <w:t>省排位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A4685" w:rsidRPr="00795002" w:rsidRDefault="00EA4685" w:rsidP="009546B8">
            <w:pPr>
              <w:widowControl/>
              <w:spacing w:line="400" w:lineRule="exact"/>
              <w:jc w:val="center"/>
              <w:rPr>
                <w:rFonts w:ascii="仿宋_GB2312" w:eastAsia="仿宋_GB2312" w:hAnsi="宋体" w:cs="Arial"/>
                <w:bCs/>
                <w:color w:val="000000" w:themeColor="text1"/>
                <w:kern w:val="0"/>
                <w:szCs w:val="21"/>
              </w:rPr>
            </w:pPr>
            <w:r w:rsidRPr="00795002">
              <w:rPr>
                <w:rFonts w:ascii="仿宋_GB2312" w:eastAsia="仿宋_GB2312" w:hAnsi="宋体" w:cs="Arial" w:hint="eastAsia"/>
                <w:bCs/>
                <w:color w:val="000000" w:themeColor="text1"/>
                <w:kern w:val="0"/>
                <w:szCs w:val="21"/>
              </w:rPr>
              <w:t>18</w:t>
            </w:r>
          </w:p>
        </w:tc>
      </w:tr>
    </w:tbl>
    <w:p w:rsidR="00EA4685" w:rsidRPr="00795002" w:rsidRDefault="00EA4685" w:rsidP="00EA4685">
      <w:pPr>
        <w:widowControl/>
        <w:shd w:val="clear" w:color="auto" w:fill="FFFFFF"/>
        <w:ind w:firstLineChars="195" w:firstLine="624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795002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（二）民间投资作用凸显。</w:t>
      </w:r>
      <w:r w:rsidRPr="0079500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我市加大引导民间投资，民间投资积极性明显提高，在全市投资中的主体地位日益凸显。统计显示，全年我市民间投资在建项目2872个，比2014年增加759个，占全市建设项目的82.6%，民间投资完成850.40亿元，增长33.4%，高于全市投资增速5.4个百分点，占全市投资总量的76.2%，民间投资已经成为全市投资增长的重要支撑。</w:t>
      </w:r>
    </w:p>
    <w:p w:rsidR="006B3A2A" w:rsidRPr="00795002" w:rsidRDefault="00EA4685" w:rsidP="00EA4685">
      <w:pPr>
        <w:rPr>
          <w:color w:val="000000" w:themeColor="text1"/>
        </w:rPr>
      </w:pPr>
      <w:r w:rsidRPr="00795002">
        <w:rPr>
          <w:rFonts w:ascii="仿宋_GB2312" w:eastAsia="仿宋_GB2312" w:hint="eastAsia"/>
          <w:b/>
          <w:color w:val="000000" w:themeColor="text1"/>
          <w:sz w:val="32"/>
          <w:szCs w:val="32"/>
        </w:rPr>
        <w:t>（三）</w:t>
      </w:r>
      <w:r w:rsidRPr="00795002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基础设施投资持续发力。</w:t>
      </w:r>
      <w:r w:rsidRPr="00795002">
        <w:rPr>
          <w:rFonts w:ascii="仿宋_GB2312" w:eastAsia="仿宋_GB2312" w:hint="eastAsia"/>
          <w:bCs/>
          <w:color w:val="000000" w:themeColor="text1"/>
          <w:sz w:val="32"/>
          <w:szCs w:val="32"/>
        </w:rPr>
        <w:t>2015年全市基础设施投资实现快速增长，完成投资280.66亿元，增长30.8%。其中，交通运输业投资占据主导地位，完成投资129.55亿元，增长33.5%。在建项目包茂高速、汕湛高速茂名段、深茂高铁等进展良好。</w:t>
      </w:r>
    </w:p>
    <w:sectPr w:rsidR="006B3A2A" w:rsidRPr="00795002" w:rsidSect="006B3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5EB" w:rsidRDefault="005C75EB" w:rsidP="00795002">
      <w:r>
        <w:separator/>
      </w:r>
    </w:p>
  </w:endnote>
  <w:endnote w:type="continuationSeparator" w:id="1">
    <w:p w:rsidR="005C75EB" w:rsidRDefault="005C75EB" w:rsidP="0079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5EB" w:rsidRDefault="005C75EB" w:rsidP="00795002">
      <w:r>
        <w:separator/>
      </w:r>
    </w:p>
  </w:footnote>
  <w:footnote w:type="continuationSeparator" w:id="1">
    <w:p w:rsidR="005C75EB" w:rsidRDefault="005C75EB" w:rsidP="007950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685"/>
    <w:rsid w:val="005C75EB"/>
    <w:rsid w:val="006B3A2A"/>
    <w:rsid w:val="00795002"/>
    <w:rsid w:val="00EA4685"/>
    <w:rsid w:val="00EB2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5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50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5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50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741</Characters>
  <Application>Microsoft Office Word</Application>
  <DocSecurity>0</DocSecurity>
  <Lines>6</Lines>
  <Paragraphs>1</Paragraphs>
  <ScaleCrop>false</ScaleCrop>
  <Company>P R C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2017-02-04T03:18:00Z</dcterms:created>
  <dcterms:modified xsi:type="dcterms:W3CDTF">2017-07-27T01:36:00Z</dcterms:modified>
</cp:coreProperties>
</file>