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5" w:type="dxa"/>
        <w:jc w:val="center"/>
        <w:tblInd w:w="108" w:type="dxa"/>
        <w:tblLook w:val="00A0"/>
      </w:tblPr>
      <w:tblGrid>
        <w:gridCol w:w="3969"/>
        <w:gridCol w:w="1134"/>
        <w:gridCol w:w="1134"/>
        <w:gridCol w:w="1134"/>
        <w:gridCol w:w="1134"/>
      </w:tblGrid>
      <w:tr w:rsidR="0011228B" w:rsidRPr="00226B8B" w:rsidTr="00FE5C06">
        <w:trPr>
          <w:trHeight w:val="402"/>
          <w:jc w:val="center"/>
        </w:trPr>
        <w:tc>
          <w:tcPr>
            <w:tcW w:w="85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226B8B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</w:rPr>
              <w:t xml:space="preserve">  </w:t>
            </w:r>
            <w:r w:rsidRPr="00226B8B">
              <w:rPr>
                <w:rFonts w:ascii="仿宋_GB2312" w:eastAsia="仿宋_GB2312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226B8B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>2015年六大高耗能能源消费总量增速（%）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1季度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1-2季度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1-3季度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1-4季度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规上工业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-10.9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-10.7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-8.5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-4.3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其中：轻工业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17.3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19.9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18.0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6.1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重工业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-11.4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-11.2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-9.0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-4.6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其中：六大高耗能行业合计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-11.5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-11.4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-9.1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-4.6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石油加工业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-13.4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-15.0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-12.3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-6.2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化学原料和化学制品制造业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18.2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6.6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3.5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2.0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非金属矿物制品业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32.3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39.4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29.9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15.9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黑色金属冶炼和压延加工业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35.9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36.6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25.0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-1.8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有色金属冶炼和压延加工业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-87.3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-35.6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2.6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6.1 </w:t>
            </w:r>
          </w:p>
        </w:tc>
      </w:tr>
      <w:tr w:rsidR="0011228B" w:rsidRPr="00226B8B" w:rsidTr="00FE5C06">
        <w:trPr>
          <w:trHeight w:val="402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lef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        电力、热力生产和供应业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-22.8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-7.1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-3.2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228B" w:rsidRPr="00226B8B" w:rsidRDefault="0011228B" w:rsidP="00FE5C06">
            <w:pPr>
              <w:widowControl/>
              <w:jc w:val="right"/>
              <w:rPr>
                <w:rFonts w:ascii="宋体" w:cs="宋体"/>
                <w:color w:val="000000" w:themeColor="text1"/>
                <w:kern w:val="0"/>
                <w:sz w:val="22"/>
                <w:szCs w:val="22"/>
              </w:rPr>
            </w:pPr>
            <w:r w:rsidRPr="00226B8B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 xml:space="preserve">-2.5 </w:t>
            </w:r>
          </w:p>
        </w:tc>
      </w:tr>
    </w:tbl>
    <w:p w:rsidR="0011228B" w:rsidRPr="00226B8B" w:rsidRDefault="0011228B" w:rsidP="0011228B">
      <w:pPr>
        <w:spacing w:line="24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 w:rsidRPr="00226B8B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</w:t>
      </w:r>
    </w:p>
    <w:p w:rsidR="0011228B" w:rsidRPr="00226B8B" w:rsidRDefault="0011228B" w:rsidP="0011228B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26B8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（四）重点用能企业能耗下降大。</w:t>
      </w:r>
      <w:r w:rsidRPr="00226B8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2015年全市规上工业用能超10万吨标准煤企业7家，同比增加1家，能源消费合计911.29万吨标准煤，下降4.95%，占全市规上工业能源消费总量的91.3%。其中，茂石化和臻能热电两家公司的能源消费量合计减少55.32万吨标准煤，是规上能源消费减少量的1.2倍，导致规上能源消费总量下降5.4个百分点。</w:t>
      </w:r>
    </w:p>
    <w:p w:rsidR="0011228B" w:rsidRPr="00226B8B" w:rsidRDefault="0011228B" w:rsidP="0011228B">
      <w:pPr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</w:rPr>
      </w:pPr>
      <w:r w:rsidRPr="00226B8B">
        <w:rPr>
          <w:rFonts w:ascii="楷体_GB2312" w:eastAsia="楷体_GB2312" w:hint="eastAsia"/>
          <w:b/>
          <w:color w:val="000000" w:themeColor="text1"/>
          <w:kern w:val="0"/>
          <w:sz w:val="32"/>
          <w:szCs w:val="32"/>
        </w:rPr>
        <w:t>（五）单位工业增加值能耗降幅明显。</w:t>
      </w:r>
      <w:r w:rsidRPr="00226B8B"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据初步测算，2015年我市工业增加值能耗为1.491吨标准煤/万元，下降11.6%，降幅同比扩大6.5个百分点，能源利用效率进一步提升。从区（县级市）单位工业增加值能耗来看，除电白上升0.01%之外，信宜下降16.1%，化州下降15.9%，高州下降14.3%，茂南下降0.5%，市直下降3.2%。</w:t>
      </w:r>
    </w:p>
    <w:p w:rsidR="0011228B" w:rsidRPr="00226B8B" w:rsidRDefault="0011228B" w:rsidP="0011228B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26B8B">
        <w:rPr>
          <w:rFonts w:ascii="楷体_GB2312" w:eastAsia="楷体_GB2312" w:hint="eastAsia"/>
          <w:b/>
          <w:color w:val="000000" w:themeColor="text1"/>
          <w:sz w:val="32"/>
          <w:szCs w:val="32"/>
        </w:rPr>
        <w:t>（六）工业用电低速增长。</w:t>
      </w:r>
      <w:r w:rsidRPr="00226B8B">
        <w:rPr>
          <w:rFonts w:ascii="仿宋_GB2312" w:eastAsia="仿宋_GB2312" w:hint="eastAsia"/>
          <w:color w:val="000000" w:themeColor="text1"/>
          <w:sz w:val="32"/>
          <w:szCs w:val="32"/>
        </w:rPr>
        <w:t>2015年，全市工业用电量</w:t>
      </w:r>
      <w:r w:rsidRPr="00226B8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58.77亿千瓦时，增长0.61%，增速同比回落15.08个百分点。从月度时间序列来看，今年以来全市工业用电增速呈低位走势，1月达到今年以来的峰值5.61%，4月探至谷值0.01%，之后徘徊在0.1%-1.1%的区间内。</w:t>
      </w:r>
    </w:p>
    <w:p w:rsidR="00010482" w:rsidRPr="00226B8B" w:rsidRDefault="0011228B" w:rsidP="0011228B">
      <w:pPr>
        <w:jc w:val="center"/>
        <w:rPr>
          <w:rFonts w:ascii="仿宋_GB2312" w:eastAsia="仿宋_GB2312"/>
          <w:color w:val="000000" w:themeColor="text1"/>
          <w:sz w:val="32"/>
          <w:szCs w:val="32"/>
        </w:rPr>
      </w:pPr>
      <w:r w:rsidRPr="00226B8B">
        <w:rPr>
          <w:rFonts w:ascii="仿宋_GB2312" w:eastAsia="仿宋_GB2312"/>
          <w:noProof/>
          <w:color w:val="000000" w:themeColor="text1"/>
          <w:sz w:val="32"/>
          <w:szCs w:val="32"/>
        </w:rPr>
        <w:drawing>
          <wp:inline distT="0" distB="0" distL="0" distR="0">
            <wp:extent cx="5781675" cy="2343150"/>
            <wp:effectExtent l="0" t="0" r="0" b="0"/>
            <wp:docPr id="1" name="图表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010482" w:rsidRPr="00226B8B" w:rsidSect="00010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68F" w:rsidRDefault="0056368F" w:rsidP="00226B8B">
      <w:r>
        <w:separator/>
      </w:r>
    </w:p>
  </w:endnote>
  <w:endnote w:type="continuationSeparator" w:id="1">
    <w:p w:rsidR="0056368F" w:rsidRDefault="0056368F" w:rsidP="00226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68F" w:rsidRDefault="0056368F" w:rsidP="00226B8B">
      <w:r>
        <w:separator/>
      </w:r>
    </w:p>
  </w:footnote>
  <w:footnote w:type="continuationSeparator" w:id="1">
    <w:p w:rsidR="0056368F" w:rsidRDefault="0056368F" w:rsidP="00226B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28B"/>
    <w:rsid w:val="00010482"/>
    <w:rsid w:val="0011228B"/>
    <w:rsid w:val="00226B8B"/>
    <w:rsid w:val="0056368F"/>
    <w:rsid w:val="00F3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228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228B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26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26B8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26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26B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mmtjj71\&#26700;&#38754;\2015&#33021;&#28304;&#20998;&#26512;&#36164;&#26009;\&#33021;&#28304;&#20998;&#26512;&#25968;&#25454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 sz="1200"/>
            </a:pPr>
            <a:r>
              <a:rPr lang="en-US" altLang="zh-CN" sz="1200" b="0">
                <a:latin typeface="+mn-ea"/>
                <a:ea typeface="+mn-ea"/>
              </a:rPr>
              <a:t>2015</a:t>
            </a:r>
            <a:r>
              <a:rPr lang="zh-CN" altLang="en-US" sz="1200" b="0">
                <a:latin typeface="+mn-ea"/>
                <a:ea typeface="+mn-ea"/>
              </a:rPr>
              <a:t>年我市工业用电累计增速</a:t>
            </a:r>
          </a:p>
        </c:rich>
      </c:tx>
    </c:title>
    <c:plotArea>
      <c:layout>
        <c:manualLayout>
          <c:layoutTarget val="inner"/>
          <c:xMode val="edge"/>
          <c:yMode val="edge"/>
          <c:x val="7.8379702537182849E-2"/>
          <c:y val="0.19018563975049679"/>
          <c:w val="0.9060400165869954"/>
          <c:h val="0.58593133348210014"/>
        </c:manualLayout>
      </c:layout>
      <c:lineChart>
        <c:grouping val="standard"/>
        <c:ser>
          <c:idx val="0"/>
          <c:order val="0"/>
          <c:tx>
            <c:v>2015年</c:v>
          </c:tx>
          <c:dLbls>
            <c:dLbl>
              <c:idx val="1"/>
              <c:layout>
                <c:manualLayout>
                  <c:x val="-8.7863811092806204E-3"/>
                  <c:y val="-4.1666666666666664E-2"/>
                </c:manualLayout>
              </c:layout>
              <c:showVal val="1"/>
            </c:dLbl>
            <c:dLbl>
              <c:idx val="2"/>
              <c:layout>
                <c:manualLayout>
                  <c:x val="-1.0982976386600741E-2"/>
                  <c:y val="-3.2407407407407482E-2"/>
                </c:manualLayout>
              </c:layout>
              <c:showVal val="1"/>
            </c:dLbl>
            <c:dLbl>
              <c:idx val="3"/>
              <c:layout>
                <c:manualLayout>
                  <c:x val="-2.1965952773201604E-2"/>
                  <c:y val="-6.9444444444444531E-2"/>
                </c:manualLayout>
              </c:layout>
              <c:showVal val="1"/>
            </c:dLbl>
            <c:dLbl>
              <c:idx val="4"/>
              <c:layout>
                <c:manualLayout>
                  <c:x val="-3.0752333882482181E-2"/>
                  <c:y val="-4.6296296296296439E-2"/>
                </c:manualLayout>
              </c:layout>
              <c:showVal val="1"/>
            </c:dLbl>
            <c:dLbl>
              <c:idx val="5"/>
              <c:layout>
                <c:manualLayout>
                  <c:x val="-2.8555738605162001E-2"/>
                  <c:y val="-5.5555555555555455E-2"/>
                </c:manualLayout>
              </c:layout>
              <c:showVal val="1"/>
            </c:dLbl>
            <c:dLbl>
              <c:idx val="6"/>
              <c:layout>
                <c:manualLayout>
                  <c:x val="-3.5145524437122384E-2"/>
                  <c:y val="-4.1666666666666761E-2"/>
                </c:manualLayout>
              </c:layout>
              <c:showVal val="1"/>
            </c:dLbl>
            <c:dLbl>
              <c:idx val="7"/>
              <c:layout>
                <c:manualLayout>
                  <c:x val="-3.9538714991762848E-2"/>
                  <c:y val="-4.1666666666666567E-2"/>
                </c:manualLayout>
              </c:layout>
              <c:showVal val="1"/>
            </c:dLbl>
            <c:dLbl>
              <c:idx val="8"/>
              <c:layout>
                <c:manualLayout>
                  <c:x val="-1.9769357495881511E-2"/>
                  <c:y val="-2.7777777777778019E-2"/>
                </c:manualLayout>
              </c:layout>
              <c:showVal val="1"/>
            </c:dLbl>
            <c:dLbl>
              <c:idx val="9"/>
              <c:layout>
                <c:manualLayout>
                  <c:x val="-2.8555738605162001E-2"/>
                  <c:y val="-5.5555555555555643E-2"/>
                </c:manualLayout>
              </c:layout>
              <c:showVal val="1"/>
            </c:dLbl>
            <c:dLbl>
              <c:idx val="10"/>
              <c:layout>
                <c:manualLayout>
                  <c:x val="-3.5145524437122461E-2"/>
                  <c:y val="-3.7037037037037056E-2"/>
                </c:manualLayout>
              </c:layout>
              <c:showVal val="1"/>
            </c:dLbl>
            <c:dLbl>
              <c:idx val="11"/>
              <c:layout>
                <c:manualLayout>
                  <c:x val="-2.6359143327841845E-2"/>
                  <c:y val="-5.0925925925925923E-2"/>
                </c:manualLayout>
              </c:layout>
              <c:showVal val="1"/>
            </c:dLbl>
            <c:showVal val="1"/>
          </c:dLbls>
          <c:cat>
            <c:strRef>
              <c:f>Sheet1!$B$29:$M$29</c:f>
              <c:strCache>
                <c:ptCount val="12"/>
                <c:pt idx="0">
                  <c:v>1月</c:v>
                </c:pt>
                <c:pt idx="1">
                  <c:v>1-2月</c:v>
                </c:pt>
                <c:pt idx="2">
                  <c:v>1-3月</c:v>
                </c:pt>
                <c:pt idx="3">
                  <c:v>1-4月</c:v>
                </c:pt>
                <c:pt idx="4">
                  <c:v>1-5月</c:v>
                </c:pt>
                <c:pt idx="5">
                  <c:v>1-6月</c:v>
                </c:pt>
                <c:pt idx="6">
                  <c:v>1-7月</c:v>
                </c:pt>
                <c:pt idx="7">
                  <c:v>1-8月</c:v>
                </c:pt>
                <c:pt idx="8">
                  <c:v>1-9月</c:v>
                </c:pt>
                <c:pt idx="9">
                  <c:v>1-10月</c:v>
                </c:pt>
                <c:pt idx="10">
                  <c:v>1-11月</c:v>
                </c:pt>
                <c:pt idx="11">
                  <c:v>1-12月</c:v>
                </c:pt>
              </c:strCache>
            </c:strRef>
          </c:cat>
          <c:val>
            <c:numRef>
              <c:f>Sheet1!$B$30:$M$30</c:f>
              <c:numCache>
                <c:formatCode>0.00_ </c:formatCode>
                <c:ptCount val="12"/>
                <c:pt idx="0">
                  <c:v>5.6099999999999985</c:v>
                </c:pt>
                <c:pt idx="1">
                  <c:v>3.94</c:v>
                </c:pt>
                <c:pt idx="2">
                  <c:v>3.2</c:v>
                </c:pt>
                <c:pt idx="3">
                  <c:v>1.0000000000000005E-2</c:v>
                </c:pt>
                <c:pt idx="4">
                  <c:v>0.16</c:v>
                </c:pt>
                <c:pt idx="5">
                  <c:v>0.52</c:v>
                </c:pt>
                <c:pt idx="6">
                  <c:v>0.1</c:v>
                </c:pt>
                <c:pt idx="7">
                  <c:v>1.03</c:v>
                </c:pt>
                <c:pt idx="8">
                  <c:v>0.64000000000000101</c:v>
                </c:pt>
                <c:pt idx="9">
                  <c:v>0.1</c:v>
                </c:pt>
                <c:pt idx="10">
                  <c:v>0.5</c:v>
                </c:pt>
                <c:pt idx="11">
                  <c:v>0.61000000000000065</c:v>
                </c:pt>
              </c:numCache>
            </c:numRef>
          </c:val>
        </c:ser>
        <c:marker val="1"/>
        <c:axId val="217405696"/>
        <c:axId val="217407488"/>
      </c:lineChart>
      <c:catAx>
        <c:axId val="217405696"/>
        <c:scaling>
          <c:orientation val="minMax"/>
        </c:scaling>
        <c:axPos val="b"/>
        <c:tickLblPos val="nextTo"/>
        <c:crossAx val="217407488"/>
        <c:crosses val="autoZero"/>
        <c:auto val="1"/>
        <c:lblAlgn val="ctr"/>
        <c:lblOffset val="100"/>
      </c:catAx>
      <c:valAx>
        <c:axId val="217407488"/>
        <c:scaling>
          <c:orientation val="minMax"/>
        </c:scaling>
        <c:axPos val="l"/>
        <c:majorGridlines/>
        <c:numFmt formatCode="0.00_ " sourceLinked="1"/>
        <c:tickLblPos val="nextTo"/>
        <c:crossAx val="217405696"/>
        <c:crosses val="autoZero"/>
        <c:crossBetween val="between"/>
      </c:valAx>
    </c:plotArea>
    <c:plotVisOnly val="1"/>
  </c:chart>
  <c:spPr>
    <a:noFill/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0.75833</cdr:x>
      <cdr:y>0.08333</cdr:y>
    </cdr:from>
    <cdr:to>
      <cdr:x>0.95833</cdr:x>
      <cdr:y>0.14236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467100" y="228600"/>
          <a:ext cx="914400" cy="161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zh-CN" altLang="en-US" sz="1100"/>
        </a:p>
      </cdr:txBody>
    </cdr:sp>
  </cdr:relSizeAnchor>
  <cdr:relSizeAnchor xmlns:cdr="http://schemas.openxmlformats.org/drawingml/2006/chartDrawing">
    <cdr:from>
      <cdr:x>0.82292</cdr:x>
      <cdr:y>0.08333</cdr:y>
    </cdr:from>
    <cdr:to>
      <cdr:x>0.98333</cdr:x>
      <cdr:y>0.14583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762375" y="228599"/>
          <a:ext cx="733425" cy="1714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zh-CN" altLang="en-US" sz="1100"/>
            <a:t>单位：</a:t>
          </a:r>
          <a:r>
            <a:rPr lang="en-US" altLang="zh-CN" sz="1100"/>
            <a:t>%</a:t>
          </a:r>
          <a:endParaRPr lang="zh-CN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798</Characters>
  <Application>Microsoft Office Word</Application>
  <DocSecurity>0</DocSecurity>
  <Lines>6</Lines>
  <Paragraphs>1</Paragraphs>
  <ScaleCrop>false</ScaleCrop>
  <Company>P R C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2017-02-04T03:13:00Z</dcterms:created>
  <dcterms:modified xsi:type="dcterms:W3CDTF">2017-07-27T01:36:00Z</dcterms:modified>
</cp:coreProperties>
</file>