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01A" w:rsidRPr="005647E5" w:rsidRDefault="00DF101A" w:rsidP="00DF101A">
      <w:pPr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5647E5">
        <w:rPr>
          <w:rFonts w:ascii="方正小标宋简体" w:eastAsia="方正小标宋简体" w:hint="eastAsia"/>
          <w:color w:val="000000" w:themeColor="text1"/>
          <w:sz w:val="44"/>
          <w:szCs w:val="44"/>
        </w:rPr>
        <w:t>2015年我市规上工业能耗情况分析</w:t>
      </w:r>
    </w:p>
    <w:p w:rsidR="00DF101A" w:rsidRPr="005647E5" w:rsidRDefault="00DF101A" w:rsidP="00DF101A">
      <w:pPr>
        <w:spacing w:line="56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</w:p>
    <w:p w:rsidR="00DF101A" w:rsidRPr="005647E5" w:rsidRDefault="00DF101A" w:rsidP="00DF101A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5647E5">
        <w:rPr>
          <w:rFonts w:ascii="仿宋_GB2312" w:eastAsia="仿宋_GB2312" w:hint="eastAsia"/>
          <w:color w:val="000000" w:themeColor="text1"/>
          <w:sz w:val="32"/>
          <w:szCs w:val="32"/>
        </w:rPr>
        <w:t>2015年，我市工业生产放缓，能源消费总量、单位工业增加值能耗均同比下降，工业用电量低速增长，能源消费增速持续走低，能源利用效率提升，工业节能降耗形势良好。</w:t>
      </w:r>
    </w:p>
    <w:p w:rsidR="00DF101A" w:rsidRPr="005647E5" w:rsidRDefault="00DF101A" w:rsidP="00DF101A">
      <w:pPr>
        <w:ind w:firstLineChars="200" w:firstLine="640"/>
        <w:rPr>
          <w:rFonts w:ascii="黑体" w:eastAsia="黑体"/>
          <w:color w:val="000000" w:themeColor="text1"/>
          <w:sz w:val="32"/>
          <w:szCs w:val="32"/>
        </w:rPr>
      </w:pPr>
      <w:r w:rsidRPr="005647E5">
        <w:rPr>
          <w:rFonts w:ascii="黑体" w:eastAsia="黑体" w:hint="eastAsia"/>
          <w:color w:val="000000" w:themeColor="text1"/>
          <w:sz w:val="32"/>
          <w:szCs w:val="32"/>
        </w:rPr>
        <w:t>一、基本情况</w:t>
      </w:r>
    </w:p>
    <w:p w:rsidR="00DF101A" w:rsidRPr="005647E5" w:rsidRDefault="00DF101A" w:rsidP="00DF101A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5647E5">
        <w:rPr>
          <w:rFonts w:ascii="楷体_GB2312" w:eastAsia="楷体_GB2312" w:hint="eastAsia"/>
          <w:b/>
          <w:color w:val="000000" w:themeColor="text1"/>
          <w:sz w:val="32"/>
          <w:szCs w:val="32"/>
        </w:rPr>
        <w:t>（一）能源消费总量增速徘徊在负区间。</w:t>
      </w:r>
      <w:r w:rsidRPr="005647E5">
        <w:rPr>
          <w:rFonts w:ascii="仿宋_GB2312" w:eastAsia="仿宋_GB2312" w:hint="eastAsia"/>
          <w:color w:val="000000" w:themeColor="text1"/>
          <w:sz w:val="32"/>
          <w:szCs w:val="32"/>
        </w:rPr>
        <w:t>2015年全市规模以上（以下简称“规上”）工业企业综合能源消费量997.74万吨标准煤，下降4.3%，增幅同比回落15.2个百分点。从月度时间序列数据看，前4个月，受茂石化公司及臻能热电公司部分机组停产检修影响，全市能源消费总量降幅明显，能耗最低时同比下降16.6%，5月份之后，能耗降幅逐渐收窄。</w:t>
      </w:r>
    </w:p>
    <w:p w:rsidR="00DF101A" w:rsidRPr="005647E5" w:rsidRDefault="00DF101A" w:rsidP="00DF101A">
      <w:pPr>
        <w:rPr>
          <w:rFonts w:ascii="仿宋_GB2312" w:eastAsia="仿宋_GB2312"/>
          <w:color w:val="000000" w:themeColor="text1"/>
          <w:sz w:val="32"/>
          <w:szCs w:val="32"/>
        </w:rPr>
      </w:pPr>
      <w:r w:rsidRPr="005647E5">
        <w:rPr>
          <w:rFonts w:ascii="仿宋_GB2312" w:eastAsia="仿宋_GB2312"/>
          <w:noProof/>
          <w:color w:val="000000" w:themeColor="text1"/>
          <w:sz w:val="32"/>
          <w:szCs w:val="32"/>
        </w:rPr>
        <w:drawing>
          <wp:inline distT="0" distB="0" distL="0" distR="0">
            <wp:extent cx="5762625" cy="2695575"/>
            <wp:effectExtent l="0" t="0" r="0" b="0"/>
            <wp:docPr id="1" name="图片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F101A" w:rsidRPr="005647E5" w:rsidRDefault="00DF101A" w:rsidP="00DF101A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5647E5">
        <w:rPr>
          <w:rFonts w:ascii="楷体_GB2312" w:eastAsia="楷体_GB2312" w:hint="eastAsia"/>
          <w:b/>
          <w:color w:val="000000" w:themeColor="text1"/>
          <w:sz w:val="32"/>
          <w:szCs w:val="32"/>
        </w:rPr>
        <w:t>（二）重工业能耗增速回落明显。</w:t>
      </w:r>
      <w:r w:rsidRPr="005647E5">
        <w:rPr>
          <w:rFonts w:ascii="仿宋_GB2312" w:eastAsia="仿宋_GB2312" w:hint="eastAsia"/>
          <w:color w:val="000000" w:themeColor="text1"/>
          <w:sz w:val="32"/>
          <w:szCs w:val="32"/>
        </w:rPr>
        <w:t>全市规上轻工业综合能源消费量24.82万吨标准煤，增长6.1%，同比回落0.5</w:t>
      </w:r>
      <w:r w:rsidRPr="005647E5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个百分点；重工业综合能源消费量972.92万吨标准煤，下降4.6%，增速同比回落15.6个百分点。</w:t>
      </w:r>
    </w:p>
    <w:p w:rsidR="00DF101A" w:rsidRPr="005647E5" w:rsidRDefault="00DF101A" w:rsidP="00DF101A">
      <w:pPr>
        <w:rPr>
          <w:rFonts w:ascii="仿宋_GB2312" w:eastAsia="仿宋_GB2312"/>
          <w:color w:val="000000" w:themeColor="text1"/>
          <w:sz w:val="32"/>
          <w:szCs w:val="32"/>
        </w:rPr>
      </w:pPr>
      <w:r w:rsidRPr="005647E5">
        <w:rPr>
          <w:rFonts w:ascii="仿宋_GB2312" w:eastAsia="仿宋_GB2312" w:hint="eastAsia"/>
          <w:color w:val="000000" w:themeColor="text1"/>
          <w:sz w:val="32"/>
          <w:szCs w:val="32"/>
        </w:rPr>
        <w:t xml:space="preserve">     34个行业大类中，有24个行业综合能耗增速快于规上工业平均增速。其中增速较快的有：皮革、毛皮、羽毛及其制品制造业（50.5%）、医药制造业（27.9%）等行业。有13个行业综合能耗增速同比负增长，其中有色金属矿采选业（-55.5%）、黑色金属矿采选业（-25.8%）、石油加工业（-6.2%）等行业下降速度较快。</w:t>
      </w:r>
    </w:p>
    <w:p w:rsidR="00010482" w:rsidRPr="005647E5" w:rsidRDefault="00DF101A" w:rsidP="00DF101A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5647E5">
        <w:rPr>
          <w:rFonts w:ascii="楷体_GB2312" w:eastAsia="楷体_GB2312" w:hint="eastAsia"/>
          <w:b/>
          <w:color w:val="000000" w:themeColor="text1"/>
          <w:sz w:val="32"/>
          <w:szCs w:val="32"/>
        </w:rPr>
        <w:t>（三）高耗能行业能耗增速“三降三升”。</w:t>
      </w:r>
      <w:r w:rsidRPr="005647E5">
        <w:rPr>
          <w:rFonts w:ascii="仿宋_GB2312" w:eastAsia="仿宋_GB2312" w:hint="eastAsia"/>
          <w:color w:val="000000" w:themeColor="text1"/>
          <w:sz w:val="32"/>
          <w:szCs w:val="32"/>
        </w:rPr>
        <w:t>全市六大高耗能行业综合能源消费量961.1万吨标准煤，下降4.6%。其中，石油加工业下降6.2%，电力热力生产和供应业下降2.5%，黑色金属冶炼和压延加工业下降1.8%。此三大行业能源消费合计占高耗能行业总量比重达92.6%，拉低我市能源消费总量5.1个百分点。而非金属矿物制品业、有色金属冶炼和压延加工业、化学原料和化学制品制造业分别增长15.9%、6.1%和2.0%。</w:t>
      </w:r>
    </w:p>
    <w:sectPr w:rsidR="00010482" w:rsidRPr="005647E5" w:rsidSect="000104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C27" w:rsidRDefault="004E4C27" w:rsidP="005647E5">
      <w:r>
        <w:separator/>
      </w:r>
    </w:p>
  </w:endnote>
  <w:endnote w:type="continuationSeparator" w:id="1">
    <w:p w:rsidR="004E4C27" w:rsidRDefault="004E4C27" w:rsidP="00564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C27" w:rsidRDefault="004E4C27" w:rsidP="005647E5">
      <w:r>
        <w:separator/>
      </w:r>
    </w:p>
  </w:footnote>
  <w:footnote w:type="continuationSeparator" w:id="1">
    <w:p w:rsidR="004E4C27" w:rsidRDefault="004E4C27" w:rsidP="005647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101A"/>
    <w:rsid w:val="00010482"/>
    <w:rsid w:val="004E4C27"/>
    <w:rsid w:val="005647E5"/>
    <w:rsid w:val="00653C03"/>
    <w:rsid w:val="00DF1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F10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F101A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64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647E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64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647E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Documents%20and%20Settings\mmtjj71\&#26700;&#38754;\2015&#33021;&#28304;&#20998;&#26512;&#36164;&#26009;\&#33021;&#28304;&#20998;&#23376;&#25968;&#25454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>
        <c:manualLayout>
          <c:layoutTarget val="inner"/>
          <c:xMode val="edge"/>
          <c:yMode val="edge"/>
          <c:x val="9.0137049510099085E-2"/>
          <c:y val="0.22269685039370088"/>
          <c:w val="0.89589155135394305"/>
          <c:h val="0.66996318168562252"/>
        </c:manualLayout>
      </c:layout>
      <c:lineChart>
        <c:grouping val="standard"/>
        <c:ser>
          <c:idx val="0"/>
          <c:order val="0"/>
          <c:tx>
            <c:v>2014年</c:v>
          </c:tx>
          <c:dLbls>
            <c:dLbl>
              <c:idx val="0"/>
              <c:layout>
                <c:manualLayout>
                  <c:x val="-4.2328034490497123E-2"/>
                  <c:y val="-4.1666666666666692E-2"/>
                </c:manualLayout>
              </c:layout>
              <c:showVal val="1"/>
            </c:dLbl>
            <c:dLbl>
              <c:idx val="1"/>
              <c:layout>
                <c:manualLayout>
                  <c:x val="-3.2921804603720212E-2"/>
                  <c:y val="-4.1666666666666692E-2"/>
                </c:manualLayout>
              </c:layout>
              <c:showVal val="1"/>
            </c:dLbl>
            <c:dLbl>
              <c:idx val="2"/>
              <c:layout>
                <c:manualLayout>
                  <c:x val="-3.5273362075414816E-2"/>
                  <c:y val="-4.629629629629662E-2"/>
                </c:manualLayout>
              </c:layout>
              <c:showVal val="1"/>
            </c:dLbl>
            <c:dLbl>
              <c:idx val="3"/>
              <c:layout>
                <c:manualLayout>
                  <c:x val="-3.7624919547108691E-2"/>
                  <c:y val="-4.1666666666666692E-2"/>
                </c:manualLayout>
              </c:layout>
              <c:showVal val="1"/>
            </c:dLbl>
            <c:dLbl>
              <c:idx val="4"/>
              <c:layout>
                <c:manualLayout>
                  <c:x val="-4.2328034490497123E-2"/>
                  <c:y val="-3.7037037037037271E-2"/>
                </c:manualLayout>
              </c:layout>
              <c:showVal val="1"/>
            </c:dLbl>
            <c:dLbl>
              <c:idx val="5"/>
              <c:layout>
                <c:manualLayout>
                  <c:x val="-3.7624919547108698E-2"/>
                  <c:y val="-3.7037037037037271E-2"/>
                </c:manualLayout>
              </c:layout>
              <c:showVal val="1"/>
            </c:dLbl>
            <c:dLbl>
              <c:idx val="6"/>
              <c:layout>
                <c:manualLayout>
                  <c:x val="-3.7624919547108698E-2"/>
                  <c:y val="-3.2407407407407739E-2"/>
                </c:manualLayout>
              </c:layout>
              <c:showVal val="1"/>
            </c:dLbl>
            <c:dLbl>
              <c:idx val="7"/>
              <c:layout>
                <c:manualLayout>
                  <c:x val="-3.9976477018802942E-2"/>
                  <c:y val="-4.629629629629662E-2"/>
                </c:manualLayout>
              </c:layout>
              <c:showVal val="1"/>
            </c:dLbl>
            <c:dLbl>
              <c:idx val="8"/>
              <c:layout>
                <c:manualLayout>
                  <c:x val="-4.938270690558054E-2"/>
                  <c:y val="-4.629629629629662E-2"/>
                </c:manualLayout>
              </c:layout>
              <c:showVal val="1"/>
            </c:dLbl>
            <c:dLbl>
              <c:idx val="9"/>
              <c:layout>
                <c:manualLayout>
                  <c:x val="-2.8218689660331368E-2"/>
                  <c:y val="-4.1666666666666692E-2"/>
                </c:manualLayout>
              </c:layout>
              <c:showVal val="1"/>
            </c:dLbl>
            <c:dLbl>
              <c:idx val="10"/>
              <c:layout>
                <c:manualLayout>
                  <c:x val="-2.5867132188637291E-2"/>
                  <c:y val="-4.1666666666666692E-2"/>
                </c:manualLayout>
              </c:layout>
              <c:showVal val="1"/>
            </c:dLbl>
            <c:spPr>
              <a:ln>
                <a:noFill/>
              </a:ln>
            </c:spPr>
            <c:showVal val="1"/>
          </c:dLbls>
          <c:cat>
            <c:strRef>
              <c:f>Sheet1!$B$2:$L$2</c:f>
              <c:strCache>
                <c:ptCount val="11"/>
                <c:pt idx="0">
                  <c:v>1-2月</c:v>
                </c:pt>
                <c:pt idx="1">
                  <c:v>1-3月</c:v>
                </c:pt>
                <c:pt idx="2">
                  <c:v>1-4月</c:v>
                </c:pt>
                <c:pt idx="3">
                  <c:v>1-5月</c:v>
                </c:pt>
                <c:pt idx="4">
                  <c:v>1-6月</c:v>
                </c:pt>
                <c:pt idx="5">
                  <c:v>1-7月</c:v>
                </c:pt>
                <c:pt idx="6">
                  <c:v>1-8月</c:v>
                </c:pt>
                <c:pt idx="7">
                  <c:v>1-9月</c:v>
                </c:pt>
                <c:pt idx="8">
                  <c:v>1-10月</c:v>
                </c:pt>
                <c:pt idx="9">
                  <c:v>1-11月</c:v>
                </c:pt>
                <c:pt idx="10">
                  <c:v>1-12月</c:v>
                </c:pt>
              </c:strCache>
            </c:strRef>
          </c:cat>
          <c:val>
            <c:numRef>
              <c:f>Sheet1!$B$3:$L$3</c:f>
              <c:numCache>
                <c:formatCode>0.0_ </c:formatCode>
                <c:ptCount val="11"/>
                <c:pt idx="0">
                  <c:v>10.4</c:v>
                </c:pt>
                <c:pt idx="1">
                  <c:v>11.3</c:v>
                </c:pt>
                <c:pt idx="2">
                  <c:v>11.6</c:v>
                </c:pt>
                <c:pt idx="3">
                  <c:v>11.2</c:v>
                </c:pt>
                <c:pt idx="4">
                  <c:v>11.2</c:v>
                </c:pt>
                <c:pt idx="5">
                  <c:v>10.9</c:v>
                </c:pt>
                <c:pt idx="6">
                  <c:v>11.3</c:v>
                </c:pt>
                <c:pt idx="7">
                  <c:v>10.8</c:v>
                </c:pt>
                <c:pt idx="8">
                  <c:v>12</c:v>
                </c:pt>
                <c:pt idx="9">
                  <c:v>12.2</c:v>
                </c:pt>
                <c:pt idx="10">
                  <c:v>10.9</c:v>
                </c:pt>
              </c:numCache>
            </c:numRef>
          </c:val>
        </c:ser>
        <c:ser>
          <c:idx val="1"/>
          <c:order val="1"/>
          <c:tx>
            <c:v>2015年</c:v>
          </c:tx>
          <c:dLbls>
            <c:dLbl>
              <c:idx val="0"/>
              <c:layout>
                <c:manualLayout>
                  <c:x val="-2.8218689660331368E-2"/>
                  <c:y val="-5.5555555555555455E-2"/>
                </c:manualLayout>
              </c:layout>
              <c:showVal val="1"/>
            </c:dLbl>
            <c:dLbl>
              <c:idx val="1"/>
              <c:layout>
                <c:manualLayout>
                  <c:x val="-2.8218689660331368E-2"/>
                  <c:y val="-5.0925925925926124E-2"/>
                </c:manualLayout>
              </c:layout>
              <c:showVal val="1"/>
            </c:dLbl>
            <c:dLbl>
              <c:idx val="2"/>
              <c:layout>
                <c:manualLayout>
                  <c:x val="-3.7624919547108775E-2"/>
                  <c:y val="-4.6296296296296717E-2"/>
                </c:manualLayout>
              </c:layout>
              <c:showVal val="1"/>
            </c:dLbl>
            <c:dLbl>
              <c:idx val="3"/>
              <c:layout>
                <c:manualLayout>
                  <c:x val="-4.2328034490497123E-2"/>
                  <c:y val="-4.6296296296296578E-2"/>
                </c:manualLayout>
              </c:layout>
              <c:showVal val="1"/>
            </c:dLbl>
            <c:dLbl>
              <c:idx val="4"/>
              <c:layout>
                <c:manualLayout>
                  <c:x val="-3.9976477018802942E-2"/>
                  <c:y val="-4.1666666666666692E-2"/>
                </c:manualLayout>
              </c:layout>
              <c:showVal val="1"/>
            </c:dLbl>
            <c:dLbl>
              <c:idx val="5"/>
              <c:layout>
                <c:manualLayout>
                  <c:x val="-3.7624919547108698E-2"/>
                  <c:y val="4.629629629629662E-2"/>
                </c:manualLayout>
              </c:layout>
              <c:showVal val="1"/>
            </c:dLbl>
            <c:dLbl>
              <c:idx val="6"/>
              <c:layout>
                <c:manualLayout>
                  <c:x val="-5.6437379320662805E-2"/>
                  <c:y val="4.6295931758530424E-2"/>
                </c:manualLayout>
              </c:layout>
              <c:showVal val="1"/>
            </c:dLbl>
            <c:dLbl>
              <c:idx val="7"/>
              <c:layout>
                <c:manualLayout>
                  <c:x val="-4.2328034490497123E-2"/>
                  <c:y val="5.0925925925926124E-2"/>
                </c:manualLayout>
              </c:layout>
              <c:showVal val="1"/>
            </c:dLbl>
            <c:dLbl>
              <c:idx val="8"/>
              <c:layout>
                <c:manualLayout>
                  <c:x val="-3.5273362075414767E-2"/>
                  <c:y val="4.629629629629662E-2"/>
                </c:manualLayout>
              </c:layout>
              <c:showVal val="1"/>
            </c:dLbl>
            <c:dLbl>
              <c:idx val="9"/>
              <c:layout>
                <c:manualLayout>
                  <c:x val="-2.1164017245248558E-2"/>
                  <c:y val="5.5555555555555643E-2"/>
                </c:manualLayout>
              </c:layout>
              <c:showVal val="1"/>
            </c:dLbl>
            <c:dLbl>
              <c:idx val="10"/>
              <c:layout>
                <c:manualLayout>
                  <c:x val="-2.1164017245248558E-2"/>
                  <c:y val="5.5555555555555455E-2"/>
                </c:manualLayout>
              </c:layout>
              <c:tx>
                <c:rich>
                  <a:bodyPr/>
                  <a:lstStyle/>
                  <a:p>
                    <a:r>
                      <a:rPr lang="en-US" altLang="en-US"/>
                      <a:t>-4.</a:t>
                    </a:r>
                    <a:r>
                      <a:rPr lang="en-US" altLang="zh-CN"/>
                      <a:t>3</a:t>
                    </a:r>
                    <a:r>
                      <a:rPr lang="en-US" altLang="en-US"/>
                      <a:t> </a:t>
                    </a:r>
                  </a:p>
                </c:rich>
              </c:tx>
              <c:showVal val="1"/>
            </c:dLbl>
            <c:showVal val="1"/>
          </c:dLbls>
          <c:cat>
            <c:strRef>
              <c:f>Sheet1!$B$2:$L$2</c:f>
              <c:strCache>
                <c:ptCount val="11"/>
                <c:pt idx="0">
                  <c:v>1-2月</c:v>
                </c:pt>
                <c:pt idx="1">
                  <c:v>1-3月</c:v>
                </c:pt>
                <c:pt idx="2">
                  <c:v>1-4月</c:v>
                </c:pt>
                <c:pt idx="3">
                  <c:v>1-5月</c:v>
                </c:pt>
                <c:pt idx="4">
                  <c:v>1-6月</c:v>
                </c:pt>
                <c:pt idx="5">
                  <c:v>1-7月</c:v>
                </c:pt>
                <c:pt idx="6">
                  <c:v>1-8月</c:v>
                </c:pt>
                <c:pt idx="7">
                  <c:v>1-9月</c:v>
                </c:pt>
                <c:pt idx="8">
                  <c:v>1-10月</c:v>
                </c:pt>
                <c:pt idx="9">
                  <c:v>1-11月</c:v>
                </c:pt>
                <c:pt idx="10">
                  <c:v>1-12月</c:v>
                </c:pt>
              </c:strCache>
            </c:strRef>
          </c:cat>
          <c:val>
            <c:numRef>
              <c:f>Sheet1!$B$4:$L$4</c:f>
              <c:numCache>
                <c:formatCode>0.0_ </c:formatCode>
                <c:ptCount val="11"/>
                <c:pt idx="0">
                  <c:v>-0.99</c:v>
                </c:pt>
                <c:pt idx="1">
                  <c:v>-10.8</c:v>
                </c:pt>
                <c:pt idx="2">
                  <c:v>-16.600000000000001</c:v>
                </c:pt>
                <c:pt idx="3">
                  <c:v>-12.9</c:v>
                </c:pt>
                <c:pt idx="4">
                  <c:v>-10.7</c:v>
                </c:pt>
                <c:pt idx="5">
                  <c:v>-9</c:v>
                </c:pt>
                <c:pt idx="6">
                  <c:v>-8.4</c:v>
                </c:pt>
                <c:pt idx="7">
                  <c:v>-8.4700000000000006</c:v>
                </c:pt>
                <c:pt idx="8">
                  <c:v>-7.8</c:v>
                </c:pt>
                <c:pt idx="9">
                  <c:v>-5.6</c:v>
                </c:pt>
                <c:pt idx="10">
                  <c:v>-4.3499999999999996</c:v>
                </c:pt>
              </c:numCache>
            </c:numRef>
          </c:val>
        </c:ser>
        <c:marker val="1"/>
        <c:axId val="211581568"/>
        <c:axId val="213926272"/>
      </c:lineChart>
      <c:catAx>
        <c:axId val="211581568"/>
        <c:scaling>
          <c:orientation val="minMax"/>
        </c:scaling>
        <c:axPos val="b"/>
        <c:tickLblPos val="nextTo"/>
        <c:crossAx val="213926272"/>
        <c:crosses val="autoZero"/>
        <c:auto val="1"/>
        <c:lblAlgn val="ctr"/>
        <c:lblOffset val="100"/>
      </c:catAx>
      <c:valAx>
        <c:axId val="213926272"/>
        <c:scaling>
          <c:orientation val="minMax"/>
        </c:scaling>
        <c:axPos val="l"/>
        <c:majorGridlines/>
        <c:numFmt formatCode="0.0_ " sourceLinked="1"/>
        <c:tickLblPos val="nextTo"/>
        <c:crossAx val="211581568"/>
        <c:crosses val="autoZero"/>
        <c:crossBetween val="between"/>
      </c:valAx>
      <c:spPr>
        <a:noFill/>
        <a:ln>
          <a:noFill/>
        </a:ln>
      </c:spPr>
    </c:plotArea>
    <c:legend>
      <c:legendPos val="b"/>
      <c:layout>
        <c:manualLayout>
          <c:xMode val="edge"/>
          <c:yMode val="edge"/>
          <c:x val="0.3468289895561249"/>
          <c:y val="0.9116531787693205"/>
          <c:w val="0.30634202088775825"/>
          <c:h val="8.3717191601050067E-2"/>
        </c:manualLayout>
      </c:layout>
    </c:legend>
    <c:plotVisOnly val="1"/>
  </c:chart>
  <c:spPr>
    <a:noFill/>
    <a:ln>
      <a:noFill/>
    </a:ln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0.16042</cdr:x>
      <cdr:y>0.02083</cdr:y>
    </cdr:from>
    <cdr:to>
      <cdr:x>0.8254</cdr:x>
      <cdr:y>0.12153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866358" y="57150"/>
          <a:ext cx="3591343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/>
          <a:r>
            <a:rPr lang="en-US" altLang="zh-CN" sz="1400" b="0">
              <a:latin typeface="+mn-ea"/>
              <a:ea typeface="+mn-ea"/>
            </a:rPr>
            <a:t>2014-2015</a:t>
          </a:r>
          <a:r>
            <a:rPr lang="zh-CN" altLang="en-US" sz="1400" b="0">
              <a:latin typeface="+mn-ea"/>
              <a:ea typeface="+mn-ea"/>
            </a:rPr>
            <a:t>年规上工业能源消费增长情况</a:t>
          </a:r>
        </a:p>
      </cdr:txBody>
    </cdr:sp>
  </cdr:relSizeAnchor>
  <cdr:relSizeAnchor xmlns:cdr="http://schemas.openxmlformats.org/drawingml/2006/chartDrawing">
    <cdr:from>
      <cdr:x>0.78462</cdr:x>
      <cdr:y>0.10764</cdr:y>
    </cdr:from>
    <cdr:to>
      <cdr:x>0.95962</cdr:x>
      <cdr:y>0.16667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4237495" y="295275"/>
          <a:ext cx="945118" cy="1619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zh-CN" altLang="en-US" sz="1100"/>
            <a:t>单位：</a:t>
          </a:r>
          <a:r>
            <a:rPr lang="en-US" altLang="zh-CN" sz="1100"/>
            <a:t>%</a:t>
          </a:r>
          <a:endParaRPr lang="zh-CN" alt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111</Words>
  <Characters>636</Characters>
  <Application>Microsoft Office Word</Application>
  <DocSecurity>0</DocSecurity>
  <Lines>5</Lines>
  <Paragraphs>1</Paragraphs>
  <ScaleCrop>false</ScaleCrop>
  <Company>P R C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2017-02-04T03:11:00Z</dcterms:created>
  <dcterms:modified xsi:type="dcterms:W3CDTF">2017-07-27T01:36:00Z</dcterms:modified>
</cp:coreProperties>
</file>