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20" w:rsidRPr="006B099A" w:rsidRDefault="00737120" w:rsidP="00737120">
      <w:pPr>
        <w:spacing w:line="400" w:lineRule="exact"/>
        <w:jc w:val="center"/>
        <w:rPr>
          <w:rFonts w:ascii="仿宋_GB2312" w:eastAsia="仿宋_GB2312" w:hAnsi="Arial" w:cs="Arial"/>
          <w:bCs/>
          <w:color w:val="000000" w:themeColor="text1"/>
          <w:sz w:val="32"/>
          <w:szCs w:val="32"/>
        </w:rPr>
      </w:pPr>
    </w:p>
    <w:p w:rsidR="00737120" w:rsidRPr="006B099A" w:rsidRDefault="00737120" w:rsidP="00737120">
      <w:pPr>
        <w:pStyle w:val="a3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6B099A">
        <w:rPr>
          <w:rFonts w:ascii="方正小标宋简体" w:eastAsia="方正小标宋简体" w:hint="eastAsia"/>
          <w:color w:val="000000" w:themeColor="text1"/>
          <w:sz w:val="44"/>
          <w:szCs w:val="44"/>
        </w:rPr>
        <w:t>2015年我市规上工业运行情况分析</w:t>
      </w:r>
    </w:p>
    <w:p w:rsidR="00737120" w:rsidRPr="006B099A" w:rsidRDefault="00737120" w:rsidP="00737120">
      <w:pPr>
        <w:rPr>
          <w:rFonts w:ascii="仿宋_GB2312" w:eastAsia="仿宋_GB2312"/>
          <w:color w:val="000000" w:themeColor="text1"/>
          <w:sz w:val="32"/>
          <w:szCs w:val="32"/>
        </w:rPr>
      </w:pPr>
    </w:p>
    <w:p w:rsidR="00737120" w:rsidRPr="006B099A" w:rsidRDefault="00737120" w:rsidP="00737120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099A">
        <w:rPr>
          <w:rFonts w:ascii="仿宋_GB2312" w:eastAsia="仿宋_GB2312" w:hint="eastAsia"/>
          <w:color w:val="000000" w:themeColor="text1"/>
          <w:sz w:val="32"/>
          <w:szCs w:val="32"/>
        </w:rPr>
        <w:t>2015年，在经济下行压力增大，石化产品价格持续走低情况下，我市工业企业积极应对，通过调整结构，挖潜创新，全市规上工业生产呈平稳低速增长态势。全年完成工业总产值2347.89亿元，实现增加值713.02亿元，增长 8.2%，增速比全省高1个百分点，居全省第7位。</w:t>
      </w:r>
    </w:p>
    <w:p w:rsidR="00737120" w:rsidRPr="006B099A" w:rsidRDefault="00737120" w:rsidP="006B099A">
      <w:pPr>
        <w:ind w:firstLineChars="200" w:firstLine="640"/>
        <w:outlineLvl w:val="0"/>
        <w:rPr>
          <w:rFonts w:ascii="黑体" w:eastAsia="黑体"/>
          <w:color w:val="000000" w:themeColor="text1"/>
          <w:sz w:val="32"/>
          <w:szCs w:val="32"/>
        </w:rPr>
      </w:pPr>
      <w:r w:rsidRPr="006B099A">
        <w:rPr>
          <w:rFonts w:ascii="黑体" w:eastAsia="黑体" w:hint="eastAsia"/>
          <w:color w:val="000000" w:themeColor="text1"/>
          <w:sz w:val="32"/>
          <w:szCs w:val="32"/>
        </w:rPr>
        <w:t>一、基本情况</w:t>
      </w:r>
    </w:p>
    <w:p w:rsidR="00737120" w:rsidRPr="006B099A" w:rsidRDefault="00737120" w:rsidP="00737120">
      <w:pPr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099A">
        <w:rPr>
          <w:rFonts w:ascii="仿宋_GB2312" w:eastAsia="仿宋_GB2312" w:hint="eastAsia"/>
          <w:color w:val="000000" w:themeColor="text1"/>
          <w:sz w:val="32"/>
          <w:szCs w:val="32"/>
        </w:rPr>
        <w:t>2015年，全市工业生产高开低走，随后企稳，保持平稳增长。从增速曲线看，我市工业与全国、全省走势基本一致，年初增速较高，随后回落企稳。一季度增长8.6%，上半年增长8.3%， 三季度和全年均增长8.2%。</w:t>
      </w:r>
    </w:p>
    <w:p w:rsidR="00737120" w:rsidRPr="006B099A" w:rsidRDefault="00737120" w:rsidP="00737120">
      <w:pPr>
        <w:rPr>
          <w:rFonts w:ascii="仿宋_GB2312" w:eastAsia="仿宋_GB2312"/>
          <w:color w:val="000000" w:themeColor="text1"/>
          <w:sz w:val="32"/>
          <w:szCs w:val="32"/>
        </w:rPr>
      </w:pPr>
      <w:r w:rsidRPr="006B099A">
        <w:rPr>
          <w:rFonts w:ascii="仿宋_GB2312" w:eastAsia="仿宋_GB2312"/>
          <w:noProof/>
          <w:color w:val="000000" w:themeColor="text1"/>
          <w:sz w:val="32"/>
          <w:szCs w:val="32"/>
        </w:rPr>
        <w:drawing>
          <wp:inline distT="0" distB="0" distL="0" distR="0">
            <wp:extent cx="5486400" cy="2838450"/>
            <wp:effectExtent l="0" t="0" r="0" b="0"/>
            <wp:docPr id="1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37120" w:rsidRPr="006B099A" w:rsidRDefault="00737120" w:rsidP="00737120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099A">
        <w:rPr>
          <w:rFonts w:ascii="仿宋_GB2312" w:eastAsia="仿宋_GB2312" w:hint="eastAsia"/>
          <w:color w:val="000000" w:themeColor="text1"/>
          <w:sz w:val="32"/>
          <w:szCs w:val="32"/>
        </w:rPr>
        <w:t>分三大门类看，采矿业增加值增长 51.7%；制造业增长</w:t>
      </w:r>
      <w:r w:rsidRPr="006B099A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7.2%；电力、热力、燃气及水生产和供应业增长3.3% 。</w:t>
      </w:r>
    </w:p>
    <w:p w:rsidR="00737120" w:rsidRPr="006B099A" w:rsidRDefault="00737120" w:rsidP="00737120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099A">
        <w:rPr>
          <w:rFonts w:ascii="仿宋_GB2312" w:eastAsia="仿宋_GB2312" w:hint="eastAsia"/>
          <w:color w:val="000000" w:themeColor="text1"/>
          <w:sz w:val="32"/>
          <w:szCs w:val="32"/>
        </w:rPr>
        <w:t>分经济类型看，国有控股企业增加值下降0.8% ；集体企业增长10.1%；股份制企业增长7.5%；外商及港澳台商投资企业增长7.7%。</w:t>
      </w:r>
    </w:p>
    <w:p w:rsidR="00737120" w:rsidRPr="006B099A" w:rsidRDefault="00737120" w:rsidP="00737120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099A">
        <w:rPr>
          <w:rFonts w:ascii="仿宋_GB2312" w:eastAsia="仿宋_GB2312" w:hint="eastAsia"/>
          <w:color w:val="000000" w:themeColor="text1"/>
          <w:sz w:val="32"/>
          <w:szCs w:val="32"/>
        </w:rPr>
        <w:t>分行业看，34 个大类行业中有27个行业增加值保持增长，增长面达八成。</w:t>
      </w:r>
    </w:p>
    <w:p w:rsidR="00737120" w:rsidRPr="006B099A" w:rsidRDefault="00737120" w:rsidP="00737120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6B099A">
        <w:rPr>
          <w:rFonts w:ascii="仿宋_GB2312" w:eastAsia="仿宋_GB2312" w:hint="eastAsia"/>
          <w:color w:val="000000" w:themeColor="text1"/>
          <w:sz w:val="32"/>
          <w:szCs w:val="32"/>
        </w:rPr>
        <w:t>分产品看，全市68种产品中有38种产品产量增长。其中原油加工量增长0.3%，乙烯产量下降7.7%。</w:t>
      </w:r>
    </w:p>
    <w:p w:rsidR="00737120" w:rsidRPr="006B099A" w:rsidRDefault="00737120" w:rsidP="006B099A">
      <w:pPr>
        <w:pStyle w:val="a3"/>
        <w:ind w:firstLineChars="200" w:firstLine="640"/>
        <w:outlineLvl w:val="0"/>
        <w:rPr>
          <w:rFonts w:ascii="黑体" w:eastAsia="黑体"/>
          <w:color w:val="000000" w:themeColor="text1"/>
          <w:sz w:val="32"/>
          <w:szCs w:val="32"/>
        </w:rPr>
      </w:pPr>
      <w:r w:rsidRPr="006B099A">
        <w:rPr>
          <w:rFonts w:ascii="黑体" w:eastAsia="黑体" w:hint="eastAsia"/>
          <w:color w:val="000000" w:themeColor="text1"/>
          <w:sz w:val="32"/>
          <w:szCs w:val="32"/>
        </w:rPr>
        <w:t>二、运行亮点</w:t>
      </w:r>
    </w:p>
    <w:p w:rsidR="00CF134C" w:rsidRPr="006B099A" w:rsidRDefault="00737120" w:rsidP="00737120">
      <w:pPr>
        <w:rPr>
          <w:color w:val="000000" w:themeColor="text1"/>
        </w:rPr>
      </w:pPr>
      <w:r w:rsidRPr="006B099A">
        <w:rPr>
          <w:rFonts w:ascii="楷体_GB2312" w:eastAsia="楷体_GB2312" w:hint="eastAsia"/>
          <w:b/>
          <w:color w:val="000000" w:themeColor="text1"/>
          <w:sz w:val="32"/>
          <w:szCs w:val="32"/>
        </w:rPr>
        <w:t>（一）产业结构逐步优化。</w:t>
      </w:r>
      <w:r w:rsidRPr="006B099A">
        <w:rPr>
          <w:rFonts w:ascii="仿宋_GB2312" w:eastAsia="仿宋_GB2312" w:hint="eastAsia"/>
          <w:color w:val="000000" w:themeColor="text1"/>
          <w:sz w:val="32"/>
          <w:szCs w:val="32"/>
        </w:rPr>
        <w:t>全市重工业实现增加值488.57亿元，占规上工业比重68.5%，下调5.4个百分点；高技术制造业实现增加值28.71亿元，占比4.0%，上升0.9</w:t>
      </w:r>
    </w:p>
    <w:sectPr w:rsidR="00CF134C" w:rsidRPr="006B099A" w:rsidSect="00CF1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FD0" w:rsidRDefault="00155FD0" w:rsidP="006B099A">
      <w:r>
        <w:separator/>
      </w:r>
    </w:p>
  </w:endnote>
  <w:endnote w:type="continuationSeparator" w:id="1">
    <w:p w:rsidR="00155FD0" w:rsidRDefault="00155FD0" w:rsidP="006B0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FD0" w:rsidRDefault="00155FD0" w:rsidP="006B099A">
      <w:r>
        <w:separator/>
      </w:r>
    </w:p>
  </w:footnote>
  <w:footnote w:type="continuationSeparator" w:id="1">
    <w:p w:rsidR="00155FD0" w:rsidRDefault="00155FD0" w:rsidP="006B09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7120"/>
    <w:rsid w:val="00155FD0"/>
    <w:rsid w:val="006B099A"/>
    <w:rsid w:val="00737120"/>
    <w:rsid w:val="00830FD6"/>
    <w:rsid w:val="00CF1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1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120"/>
    <w:pPr>
      <w:widowControl w:val="0"/>
      <w:jc w:val="both"/>
    </w:pPr>
    <w:rPr>
      <w:rFonts w:ascii="Calibri" w:eastAsia="宋体" w:hAnsi="Calibri" w:cs="Times New Roman"/>
    </w:rPr>
  </w:style>
  <w:style w:type="paragraph" w:styleId="a4">
    <w:name w:val="Balloon Text"/>
    <w:basedOn w:val="a"/>
    <w:link w:val="Char"/>
    <w:uiPriority w:val="99"/>
    <w:semiHidden/>
    <w:unhideWhenUsed/>
    <w:rsid w:val="0073712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737120"/>
    <w:rPr>
      <w:rFonts w:ascii="Times New Roman" w:eastAsia="宋体" w:hAnsi="Times New Roman" w:cs="Times New Roman"/>
      <w:sz w:val="18"/>
      <w:szCs w:val="18"/>
    </w:rPr>
  </w:style>
  <w:style w:type="paragraph" w:styleId="a5">
    <w:name w:val="Document Map"/>
    <w:basedOn w:val="a"/>
    <w:link w:val="Char0"/>
    <w:uiPriority w:val="99"/>
    <w:semiHidden/>
    <w:unhideWhenUsed/>
    <w:rsid w:val="006B099A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5"/>
    <w:uiPriority w:val="99"/>
    <w:semiHidden/>
    <w:rsid w:val="006B099A"/>
    <w:rPr>
      <w:rFonts w:ascii="宋体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6B09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6B099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semiHidden/>
    <w:unhideWhenUsed/>
    <w:rsid w:val="006B09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semiHidden/>
    <w:rsid w:val="006B099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Documents%20and%20Settings\mmtjj71\&#26700;&#38754;\2015&#24180;&#35268;&#19978;&#24037;&#19994;&#20998;&#26512;&#36164;&#26009;\2015&#24180;&#24037;&#19994;&#20998;&#26512;&#36164;&#2600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plotArea>
      <c:layout>
        <c:manualLayout>
          <c:layoutTarget val="inner"/>
          <c:xMode val="edge"/>
          <c:yMode val="edge"/>
          <c:x val="8.4488407699037621E-2"/>
          <c:y val="0.13473388743073791"/>
          <c:w val="0.8849560367454069"/>
          <c:h val="0.6506423155438944"/>
        </c:manualLayout>
      </c:layout>
      <c:lineChart>
        <c:grouping val="standard"/>
        <c:ser>
          <c:idx val="0"/>
          <c:order val="0"/>
          <c:tx>
            <c:v>全市</c:v>
          </c:tx>
          <c:dLbls>
            <c:dLbl>
              <c:idx val="0"/>
              <c:layout>
                <c:manualLayout>
                  <c:x val="-3.0555555555555596E-2"/>
                  <c:y val="-3.7037037037037104E-2"/>
                </c:manualLayout>
              </c:layout>
              <c:showVal val="1"/>
            </c:dLbl>
            <c:dLbl>
              <c:idx val="1"/>
              <c:layout>
                <c:manualLayout>
                  <c:x val="-2.500000000000005E-2"/>
                  <c:y val="-5.5555555555555455E-2"/>
                </c:manualLayout>
              </c:layout>
              <c:showVal val="1"/>
            </c:dLbl>
            <c:dLbl>
              <c:idx val="2"/>
              <c:layout>
                <c:manualLayout>
                  <c:x val="-3.3333333333333354E-2"/>
                  <c:y val="-4.1666666666666671E-2"/>
                </c:manualLayout>
              </c:layout>
              <c:showVal val="1"/>
            </c:dLbl>
            <c:dLbl>
              <c:idx val="3"/>
              <c:layout>
                <c:manualLayout>
                  <c:x val="-3.0555555555555614E-2"/>
                  <c:y val="-4.1666666666666671E-2"/>
                </c:manualLayout>
              </c:layout>
              <c:showVal val="1"/>
            </c:dLbl>
            <c:dLbl>
              <c:idx val="4"/>
              <c:layout>
                <c:manualLayout>
                  <c:x val="-4.1666885389326384E-2"/>
                  <c:y val="-5.0926290463692063E-2"/>
                </c:manualLayout>
              </c:layout>
              <c:showVal val="1"/>
            </c:dLbl>
            <c:dLbl>
              <c:idx val="5"/>
              <c:layout>
                <c:manualLayout>
                  <c:x val="-3.6111111111111205E-2"/>
                  <c:y val="-4.1666666666666671E-2"/>
                </c:manualLayout>
              </c:layout>
              <c:showVal val="1"/>
            </c:dLbl>
            <c:dLbl>
              <c:idx val="6"/>
              <c:layout>
                <c:manualLayout>
                  <c:x val="-4.4444444444444522E-2"/>
                  <c:y val="-3.7037037037037188E-2"/>
                </c:manualLayout>
              </c:layout>
              <c:showVal val="1"/>
            </c:dLbl>
            <c:dLbl>
              <c:idx val="7"/>
              <c:layout>
                <c:manualLayout>
                  <c:x val="-4.4444444444444522E-2"/>
                  <c:y val="-5.0925925925925999E-2"/>
                </c:manualLayout>
              </c:layout>
              <c:showVal val="1"/>
            </c:dLbl>
            <c:dLbl>
              <c:idx val="8"/>
              <c:layout>
                <c:manualLayout>
                  <c:x val="-4.1666666666666782E-2"/>
                  <c:y val="-4.629629629629646E-2"/>
                </c:manualLayout>
              </c:layout>
              <c:showVal val="1"/>
            </c:dLbl>
            <c:dLbl>
              <c:idx val="9"/>
              <c:layout>
                <c:manualLayout>
                  <c:x val="-3.6111111111111219E-2"/>
                  <c:y val="-4.1666666666666671E-2"/>
                </c:manualLayout>
              </c:layout>
              <c:showVal val="1"/>
            </c:dLbl>
            <c:dLbl>
              <c:idx val="10"/>
              <c:layout>
                <c:manualLayout>
                  <c:x val="-3.8888888888889001E-2"/>
                  <c:y val="-2.7777777777777998E-2"/>
                </c:manualLayout>
              </c:layout>
              <c:showVal val="1"/>
            </c:dLbl>
            <c:showVal val="1"/>
          </c:dLbls>
          <c:cat>
            <c:strRef>
              <c:f>[2015年工业分析资料.xlsx]Sheet1!$B$2:$L$2</c:f>
              <c:strCache>
                <c:ptCount val="11"/>
                <c:pt idx="0">
                  <c:v>1-2月</c:v>
                </c:pt>
                <c:pt idx="1">
                  <c:v>1-3月</c:v>
                </c:pt>
                <c:pt idx="2">
                  <c:v>1-4月</c:v>
                </c:pt>
                <c:pt idx="3">
                  <c:v>1-5月</c:v>
                </c:pt>
                <c:pt idx="4">
                  <c:v>1-6月</c:v>
                </c:pt>
                <c:pt idx="5">
                  <c:v>1-7月</c:v>
                </c:pt>
                <c:pt idx="6">
                  <c:v>1-8月</c:v>
                </c:pt>
                <c:pt idx="7">
                  <c:v>1-9月</c:v>
                </c:pt>
                <c:pt idx="8">
                  <c:v>1-10月</c:v>
                </c:pt>
                <c:pt idx="9">
                  <c:v>1-11月</c:v>
                </c:pt>
                <c:pt idx="10">
                  <c:v>1-12月</c:v>
                </c:pt>
              </c:strCache>
            </c:strRef>
          </c:cat>
          <c:val>
            <c:numRef>
              <c:f>[2015年工业分析资料.xlsx]Sheet1!$B$4:$L$4</c:f>
              <c:numCache>
                <c:formatCode>General</c:formatCode>
                <c:ptCount val="11"/>
                <c:pt idx="0">
                  <c:v>10.1</c:v>
                </c:pt>
                <c:pt idx="1">
                  <c:v>8.6</c:v>
                </c:pt>
                <c:pt idx="2">
                  <c:v>8.1</c:v>
                </c:pt>
                <c:pt idx="3">
                  <c:v>8.1</c:v>
                </c:pt>
                <c:pt idx="4">
                  <c:v>8.3000000000000007</c:v>
                </c:pt>
                <c:pt idx="5">
                  <c:v>8.1</c:v>
                </c:pt>
                <c:pt idx="6">
                  <c:v>8.2000000000000011</c:v>
                </c:pt>
                <c:pt idx="7">
                  <c:v>8.2000000000000011</c:v>
                </c:pt>
                <c:pt idx="8">
                  <c:v>8.1</c:v>
                </c:pt>
                <c:pt idx="9">
                  <c:v>8.1</c:v>
                </c:pt>
                <c:pt idx="10">
                  <c:v>8.2000000000000011</c:v>
                </c:pt>
              </c:numCache>
            </c:numRef>
          </c:val>
        </c:ser>
        <c:ser>
          <c:idx val="1"/>
          <c:order val="1"/>
          <c:tx>
            <c:v>全省</c:v>
          </c:tx>
          <c:dLbls>
            <c:dLbl>
              <c:idx val="0"/>
              <c:layout>
                <c:manualLayout>
                  <c:x val="-3.0555555555555596E-2"/>
                  <c:y val="-4.629629629629646E-2"/>
                </c:manualLayout>
              </c:layout>
              <c:showVal val="1"/>
            </c:dLbl>
            <c:dLbl>
              <c:idx val="1"/>
              <c:layout>
                <c:manualLayout>
                  <c:x val="-3.3333333333333388E-2"/>
                  <c:y val="-3.7037037037037104E-2"/>
                </c:manualLayout>
              </c:layout>
              <c:showVal val="1"/>
            </c:dLbl>
            <c:dLbl>
              <c:idx val="2"/>
              <c:layout>
                <c:manualLayout>
                  <c:x val="-3.888888888888889E-2"/>
                  <c:y val="-4.1666666666666671E-2"/>
                </c:manualLayout>
              </c:layout>
              <c:showVal val="1"/>
            </c:dLbl>
            <c:dLbl>
              <c:idx val="3"/>
              <c:layout>
                <c:manualLayout>
                  <c:x val="-4.4444444444444522E-2"/>
                  <c:y val="-3.7037037037037104E-2"/>
                </c:manualLayout>
              </c:layout>
              <c:showVal val="1"/>
            </c:dLbl>
            <c:dLbl>
              <c:idx val="4"/>
              <c:layout>
                <c:manualLayout>
                  <c:x val="-5.8333552055993131E-2"/>
                  <c:y val="-3.7037037037037104E-2"/>
                </c:manualLayout>
              </c:layout>
              <c:showVal val="1"/>
            </c:dLbl>
            <c:dLbl>
              <c:idx val="5"/>
              <c:layout>
                <c:manualLayout>
                  <c:x val="-4.4444444444444522E-2"/>
                  <c:y val="-2.7777777777777936E-2"/>
                </c:manualLayout>
              </c:layout>
              <c:showVal val="1"/>
            </c:dLbl>
            <c:dLbl>
              <c:idx val="6"/>
              <c:layout>
                <c:manualLayout>
                  <c:x val="-3.888888888888889E-2"/>
                  <c:y val="-3.7037037037037104E-2"/>
                </c:manualLayout>
              </c:layout>
              <c:showVal val="1"/>
            </c:dLbl>
            <c:dLbl>
              <c:idx val="7"/>
              <c:layout>
                <c:manualLayout>
                  <c:x val="-3.888888888888889E-2"/>
                  <c:y val="-3.7037037037037104E-2"/>
                </c:manualLayout>
              </c:layout>
              <c:showVal val="1"/>
            </c:dLbl>
            <c:dLbl>
              <c:idx val="8"/>
              <c:layout>
                <c:manualLayout>
                  <c:x val="-4.4444663167104097E-2"/>
                  <c:y val="-4.1666666666666671E-2"/>
                </c:manualLayout>
              </c:layout>
              <c:showVal val="1"/>
            </c:dLbl>
            <c:dLbl>
              <c:idx val="9"/>
              <c:layout>
                <c:manualLayout>
                  <c:x val="-4.4444444444444592E-2"/>
                  <c:y val="-3.7037037037037104E-2"/>
                </c:manualLayout>
              </c:layout>
              <c:showVal val="1"/>
            </c:dLbl>
            <c:dLbl>
              <c:idx val="10"/>
              <c:layout>
                <c:manualLayout>
                  <c:x val="-2.7777777777777936E-2"/>
                  <c:y val="-3.2407407407407531E-2"/>
                </c:manualLayout>
              </c:layout>
              <c:showVal val="1"/>
            </c:dLbl>
            <c:showVal val="1"/>
          </c:dLbls>
          <c:cat>
            <c:strRef>
              <c:f>[2015年工业分析资料.xlsx]Sheet1!$B$2:$L$2</c:f>
              <c:strCache>
                <c:ptCount val="11"/>
                <c:pt idx="0">
                  <c:v>1-2月</c:v>
                </c:pt>
                <c:pt idx="1">
                  <c:v>1-3月</c:v>
                </c:pt>
                <c:pt idx="2">
                  <c:v>1-4月</c:v>
                </c:pt>
                <c:pt idx="3">
                  <c:v>1-5月</c:v>
                </c:pt>
                <c:pt idx="4">
                  <c:v>1-6月</c:v>
                </c:pt>
                <c:pt idx="5">
                  <c:v>1-7月</c:v>
                </c:pt>
                <c:pt idx="6">
                  <c:v>1-8月</c:v>
                </c:pt>
                <c:pt idx="7">
                  <c:v>1-9月</c:v>
                </c:pt>
                <c:pt idx="8">
                  <c:v>1-10月</c:v>
                </c:pt>
                <c:pt idx="9">
                  <c:v>1-11月</c:v>
                </c:pt>
                <c:pt idx="10">
                  <c:v>1-12月</c:v>
                </c:pt>
              </c:strCache>
            </c:strRef>
          </c:cat>
          <c:val>
            <c:numRef>
              <c:f>[2015年工业分析资料.xlsx]Sheet1!$B$5:$L$5</c:f>
              <c:numCache>
                <c:formatCode>General</c:formatCode>
                <c:ptCount val="11"/>
                <c:pt idx="0">
                  <c:v>8.1</c:v>
                </c:pt>
                <c:pt idx="1">
                  <c:v>7.4</c:v>
                </c:pt>
                <c:pt idx="2">
                  <c:v>7.3</c:v>
                </c:pt>
                <c:pt idx="3">
                  <c:v>7.3</c:v>
                </c:pt>
                <c:pt idx="4">
                  <c:v>7.4</c:v>
                </c:pt>
                <c:pt idx="5">
                  <c:v>7.4</c:v>
                </c:pt>
                <c:pt idx="6">
                  <c:v>7.4</c:v>
                </c:pt>
                <c:pt idx="7">
                  <c:v>7.3</c:v>
                </c:pt>
                <c:pt idx="8">
                  <c:v>7.2</c:v>
                </c:pt>
                <c:pt idx="9">
                  <c:v>7.2</c:v>
                </c:pt>
                <c:pt idx="10">
                  <c:v>7.2</c:v>
                </c:pt>
              </c:numCache>
            </c:numRef>
          </c:val>
        </c:ser>
        <c:ser>
          <c:idx val="2"/>
          <c:order val="2"/>
          <c:tx>
            <c:v>全国</c:v>
          </c:tx>
          <c:dLbls>
            <c:dLbl>
              <c:idx val="0"/>
              <c:layout>
                <c:manualLayout>
                  <c:x val="-3.3333333333333381E-2"/>
                  <c:y val="-3.2407407407407531E-2"/>
                </c:manualLayout>
              </c:layout>
              <c:showVal val="1"/>
            </c:dLbl>
            <c:dLbl>
              <c:idx val="1"/>
              <c:layout>
                <c:manualLayout>
                  <c:x val="-3.6111111111111212E-2"/>
                  <c:y val="-3.7037037037037229E-2"/>
                </c:manualLayout>
              </c:layout>
              <c:showVal val="1"/>
            </c:dLbl>
            <c:dLbl>
              <c:idx val="2"/>
              <c:layout>
                <c:manualLayout>
                  <c:x val="-3.888888888888889E-2"/>
                  <c:y val="-2.777777777777803E-2"/>
                </c:manualLayout>
              </c:layout>
              <c:showVal val="1"/>
            </c:dLbl>
            <c:dLbl>
              <c:idx val="3"/>
              <c:layout>
                <c:manualLayout>
                  <c:x val="-4.7222222222222394E-2"/>
                  <c:y val="-2.777777777777803E-2"/>
                </c:manualLayout>
              </c:layout>
              <c:showVal val="1"/>
            </c:dLbl>
            <c:dLbl>
              <c:idx val="4"/>
              <c:layout>
                <c:manualLayout>
                  <c:x val="-3.6111111111111219E-2"/>
                  <c:y val="-2.7777777777777936E-2"/>
                </c:manualLayout>
              </c:layout>
              <c:showVal val="1"/>
            </c:dLbl>
            <c:dLbl>
              <c:idx val="5"/>
              <c:layout>
                <c:manualLayout>
                  <c:x val="-3.888888888888889E-2"/>
                  <c:y val="-2.7777777777777936E-2"/>
                </c:manualLayout>
              </c:layout>
              <c:showVal val="1"/>
            </c:dLbl>
            <c:dLbl>
              <c:idx val="6"/>
              <c:layout>
                <c:manualLayout>
                  <c:x val="-3.888888888888889E-2"/>
                  <c:y val="-3.2407407407407531E-2"/>
                </c:manualLayout>
              </c:layout>
              <c:showVal val="1"/>
            </c:dLbl>
            <c:dLbl>
              <c:idx val="7"/>
              <c:layout>
                <c:manualLayout>
                  <c:x val="-3.3333333333333354E-2"/>
                  <c:y val="-2.777777777777803E-2"/>
                </c:manualLayout>
              </c:layout>
              <c:showVal val="1"/>
            </c:dLbl>
            <c:dLbl>
              <c:idx val="8"/>
              <c:layout>
                <c:manualLayout>
                  <c:x val="-3.8888888888889001E-2"/>
                  <c:y val="-2.7777777777777936E-2"/>
                </c:manualLayout>
              </c:layout>
              <c:showVal val="1"/>
            </c:dLbl>
            <c:dLbl>
              <c:idx val="9"/>
              <c:layout>
                <c:manualLayout>
                  <c:x val="-4.1666885389326364E-2"/>
                  <c:y val="-2.777814231554401E-2"/>
                </c:manualLayout>
              </c:layout>
              <c:showVal val="1"/>
            </c:dLbl>
            <c:dLbl>
              <c:idx val="10"/>
              <c:layout>
                <c:manualLayout>
                  <c:x val="-3.3333333333333451E-2"/>
                  <c:y val="-3.7037037037037229E-2"/>
                </c:manualLayout>
              </c:layout>
              <c:showVal val="1"/>
            </c:dLbl>
            <c:showVal val="1"/>
          </c:dLbls>
          <c:cat>
            <c:strRef>
              <c:f>[2015年工业分析资料.xlsx]Sheet1!$B$2:$L$2</c:f>
              <c:strCache>
                <c:ptCount val="11"/>
                <c:pt idx="0">
                  <c:v>1-2月</c:v>
                </c:pt>
                <c:pt idx="1">
                  <c:v>1-3月</c:v>
                </c:pt>
                <c:pt idx="2">
                  <c:v>1-4月</c:v>
                </c:pt>
                <c:pt idx="3">
                  <c:v>1-5月</c:v>
                </c:pt>
                <c:pt idx="4">
                  <c:v>1-6月</c:v>
                </c:pt>
                <c:pt idx="5">
                  <c:v>1-7月</c:v>
                </c:pt>
                <c:pt idx="6">
                  <c:v>1-8月</c:v>
                </c:pt>
                <c:pt idx="7">
                  <c:v>1-9月</c:v>
                </c:pt>
                <c:pt idx="8">
                  <c:v>1-10月</c:v>
                </c:pt>
                <c:pt idx="9">
                  <c:v>1-11月</c:v>
                </c:pt>
                <c:pt idx="10">
                  <c:v>1-12月</c:v>
                </c:pt>
              </c:strCache>
            </c:strRef>
          </c:cat>
          <c:val>
            <c:numRef>
              <c:f>[2015年工业分析资料.xlsx]Sheet1!$B$6:$L$6</c:f>
              <c:numCache>
                <c:formatCode>General</c:formatCode>
                <c:ptCount val="11"/>
                <c:pt idx="0">
                  <c:v>6.8</c:v>
                </c:pt>
                <c:pt idx="1">
                  <c:v>6.4</c:v>
                </c:pt>
                <c:pt idx="2">
                  <c:v>6.2</c:v>
                </c:pt>
                <c:pt idx="3">
                  <c:v>6.2</c:v>
                </c:pt>
                <c:pt idx="4">
                  <c:v>6.3</c:v>
                </c:pt>
                <c:pt idx="5">
                  <c:v>6.3</c:v>
                </c:pt>
                <c:pt idx="6">
                  <c:v>6.3</c:v>
                </c:pt>
                <c:pt idx="7">
                  <c:v>6.2</c:v>
                </c:pt>
                <c:pt idx="8">
                  <c:v>6.1</c:v>
                </c:pt>
                <c:pt idx="9">
                  <c:v>6.2</c:v>
                </c:pt>
                <c:pt idx="10">
                  <c:v>6.2</c:v>
                </c:pt>
              </c:numCache>
            </c:numRef>
          </c:val>
        </c:ser>
        <c:marker val="1"/>
        <c:axId val="276185856"/>
        <c:axId val="276188544"/>
      </c:lineChart>
      <c:catAx>
        <c:axId val="276185856"/>
        <c:scaling>
          <c:orientation val="minMax"/>
        </c:scaling>
        <c:axPos val="b"/>
        <c:tickLblPos val="nextTo"/>
        <c:crossAx val="276188544"/>
        <c:crosses val="autoZero"/>
        <c:auto val="1"/>
        <c:lblAlgn val="ctr"/>
        <c:lblOffset val="100"/>
      </c:catAx>
      <c:valAx>
        <c:axId val="276188544"/>
        <c:scaling>
          <c:orientation val="minMax"/>
          <c:max val="11"/>
          <c:min val="5"/>
        </c:scaling>
        <c:axPos val="l"/>
        <c:majorGridlines/>
        <c:numFmt formatCode="General" sourceLinked="1"/>
        <c:tickLblPos val="nextTo"/>
        <c:crossAx val="276185856"/>
        <c:crosses val="autoZero"/>
        <c:crossBetween val="between"/>
        <c:majorUnit val="1"/>
      </c:valAx>
    </c:plotArea>
    <c:legend>
      <c:legendPos val="b"/>
    </c:legend>
    <c:plotVisOnly val="1"/>
  </c:chart>
  <c:spPr>
    <a:ln>
      <a:noFill/>
    </a:ln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0.05729</cdr:x>
      <cdr:y>0</cdr:y>
    </cdr:from>
    <cdr:to>
      <cdr:x>0.97569</cdr:x>
      <cdr:y>0.12153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14324" y="0"/>
          <a:ext cx="5038725" cy="3447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pPr algn="ctr"/>
          <a:r>
            <a:rPr lang="en-US" altLang="zh-CN" sz="1200" b="0">
              <a:latin typeface="华文中宋" pitchFamily="2" charset="-122"/>
              <a:ea typeface="华文中宋" pitchFamily="2" charset="-122"/>
            </a:rPr>
            <a:t>2015</a:t>
          </a:r>
          <a:r>
            <a:rPr lang="zh-CN" altLang="en-US" sz="1200" b="0">
              <a:latin typeface="华文中宋" pitchFamily="2" charset="-122"/>
              <a:ea typeface="华文中宋" pitchFamily="2" charset="-122"/>
            </a:rPr>
            <a:t>年全国、全省和全市规上工业增长情况表</a:t>
          </a:r>
        </a:p>
      </cdr:txBody>
    </cdr:sp>
  </cdr:relSizeAnchor>
</c:userShap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</Words>
  <Characters>483</Characters>
  <Application>Microsoft Office Word</Application>
  <DocSecurity>0</DocSecurity>
  <Lines>4</Lines>
  <Paragraphs>1</Paragraphs>
  <ScaleCrop>false</ScaleCrop>
  <Company>P R C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2017-02-04T03:01:00Z</dcterms:created>
  <dcterms:modified xsi:type="dcterms:W3CDTF">2017-07-27T01:36:00Z</dcterms:modified>
</cp:coreProperties>
</file>