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38C" w:rsidRPr="00E648FA" w:rsidRDefault="00EE238C" w:rsidP="00EE238C">
      <w:pPr>
        <w:spacing w:line="480" w:lineRule="exact"/>
        <w:jc w:val="center"/>
        <w:rPr>
          <w:rFonts w:ascii="黑体" w:eastAsia="黑体"/>
          <w:color w:val="000000" w:themeColor="text1"/>
          <w:sz w:val="44"/>
          <w:szCs w:val="44"/>
        </w:rPr>
      </w:pPr>
      <w:r w:rsidRPr="00E648FA">
        <w:rPr>
          <w:rFonts w:ascii="黑体" w:eastAsia="黑体" w:hint="eastAsia"/>
          <w:color w:val="000000" w:themeColor="text1"/>
          <w:sz w:val="44"/>
          <w:szCs w:val="44"/>
        </w:rPr>
        <w:t>主要统计指标解释</w:t>
      </w:r>
    </w:p>
    <w:p w:rsidR="00EE238C" w:rsidRPr="00E648FA" w:rsidRDefault="00EE238C" w:rsidP="00EE238C">
      <w:pPr>
        <w:spacing w:line="480" w:lineRule="exact"/>
        <w:jc w:val="center"/>
        <w:rPr>
          <w:rFonts w:ascii="黑体" w:eastAsia="黑体"/>
          <w:color w:val="000000" w:themeColor="text1"/>
          <w:sz w:val="44"/>
          <w:szCs w:val="44"/>
        </w:rPr>
      </w:pPr>
    </w:p>
    <w:p w:rsidR="00EE238C" w:rsidRPr="00E648FA" w:rsidRDefault="00EE238C" w:rsidP="00EE238C">
      <w:pPr>
        <w:spacing w:line="480" w:lineRule="exact"/>
        <w:rPr>
          <w:color w:val="000000" w:themeColor="text1"/>
          <w:sz w:val="26"/>
          <w:szCs w:val="26"/>
        </w:rPr>
      </w:pPr>
      <w:r w:rsidRPr="00E648FA">
        <w:rPr>
          <w:rFonts w:hint="eastAsia"/>
          <w:color w:val="000000" w:themeColor="text1"/>
          <w:sz w:val="26"/>
          <w:szCs w:val="26"/>
        </w:rPr>
        <w:t xml:space="preserve">    </w:t>
      </w:r>
    </w:p>
    <w:p w:rsidR="00EE238C" w:rsidRPr="00E648FA" w:rsidRDefault="00EE238C" w:rsidP="00EE238C">
      <w:pPr>
        <w:spacing w:line="340" w:lineRule="exact"/>
        <w:ind w:firstLineChars="200" w:firstLine="420"/>
        <w:rPr>
          <w:rFonts w:ascii="方正书宋简体" w:eastAsia="方正书宋简体"/>
          <w:color w:val="000000" w:themeColor="text1"/>
          <w:szCs w:val="21"/>
        </w:rPr>
      </w:pPr>
      <w:r w:rsidRPr="00E648FA">
        <w:rPr>
          <w:rFonts w:ascii="方正书宋简体" w:eastAsia="方正书宋简体" w:hint="eastAsia"/>
          <w:b/>
          <w:color w:val="000000" w:themeColor="text1"/>
          <w:szCs w:val="21"/>
        </w:rPr>
        <w:t>普通高等学校</w:t>
      </w:r>
      <w:r w:rsidRPr="00E648FA">
        <w:rPr>
          <w:rFonts w:ascii="方正书宋简体" w:eastAsia="方正书宋简体" w:hint="eastAsia"/>
          <w:color w:val="000000" w:themeColor="text1"/>
          <w:szCs w:val="21"/>
        </w:rPr>
        <w:t xml:space="preserve">  指按照国家规定的设置标准和审批程序批准举办，通过国家统一招生考试，收高中毕业生为主要培养对象，实施高等教育的全日制大学，独立设置的学院和高等专科学校，高等职业学校和其他机构。</w:t>
      </w:r>
    </w:p>
    <w:p w:rsidR="00EE238C" w:rsidRPr="00E648FA" w:rsidRDefault="00EE238C" w:rsidP="00EE238C">
      <w:pPr>
        <w:spacing w:line="340" w:lineRule="exact"/>
        <w:ind w:firstLineChars="200" w:firstLine="420"/>
        <w:rPr>
          <w:rFonts w:ascii="方正书宋简体" w:eastAsia="方正书宋简体"/>
          <w:color w:val="000000" w:themeColor="text1"/>
          <w:szCs w:val="21"/>
        </w:rPr>
      </w:pPr>
      <w:r w:rsidRPr="00E648FA">
        <w:rPr>
          <w:rFonts w:ascii="方正书宋简体" w:eastAsia="方正书宋简体" w:hint="eastAsia"/>
          <w:b/>
          <w:color w:val="000000" w:themeColor="text1"/>
          <w:szCs w:val="21"/>
        </w:rPr>
        <w:t>成人高等学校</w:t>
      </w:r>
      <w:r w:rsidRPr="00E648FA">
        <w:rPr>
          <w:rFonts w:ascii="方正书宋简体" w:eastAsia="方正书宋简体" w:hint="eastAsia"/>
          <w:color w:val="000000" w:themeColor="text1"/>
          <w:szCs w:val="21"/>
        </w:rPr>
        <w:t xml:space="preserve">  指按照国家有关规定审批、招收通过全国成人、高教统一招生考试的具有高中毕业或同等学历的在职从业人员利用脱产、半脱产、业余或函授等多种形式对其实施高等学历教育，培养高等教育专科或本科毕业水平的专门人才，修业年限、课程设置和总学时的数按高等学历教育要求付诸实施的学校。包括广播电视大学、职工高等学校、农民高等学校、管理干部学院、教育学院、独立设置的函授学院等。</w:t>
      </w:r>
    </w:p>
    <w:p w:rsidR="00EE238C" w:rsidRPr="00E648FA" w:rsidRDefault="00EE238C" w:rsidP="00EE238C">
      <w:pPr>
        <w:pStyle w:val="a3"/>
        <w:spacing w:after="0" w:line="360" w:lineRule="exact"/>
        <w:ind w:firstLineChars="200" w:firstLine="422"/>
        <w:rPr>
          <w:color w:val="000000" w:themeColor="text1"/>
          <w:szCs w:val="21"/>
        </w:rPr>
      </w:pPr>
      <w:r w:rsidRPr="00E648FA">
        <w:rPr>
          <w:rFonts w:ascii="黑体" w:eastAsia="黑体" w:hint="eastAsia"/>
          <w:b/>
          <w:color w:val="000000" w:themeColor="text1"/>
          <w:szCs w:val="21"/>
        </w:rPr>
        <w:t xml:space="preserve">研究与试验发展（R&amp;D）活动 </w:t>
      </w:r>
      <w:r w:rsidRPr="00E648FA">
        <w:rPr>
          <w:rFonts w:ascii="黑体" w:eastAsia="黑体" w:hint="eastAsia"/>
          <w:color w:val="000000" w:themeColor="text1"/>
          <w:szCs w:val="21"/>
        </w:rPr>
        <w:t xml:space="preserve"> </w:t>
      </w:r>
      <w:r w:rsidRPr="00E648FA">
        <w:rPr>
          <w:rFonts w:hint="eastAsia"/>
          <w:color w:val="000000" w:themeColor="text1"/>
          <w:szCs w:val="21"/>
        </w:rPr>
        <w:t>指在科学技术领域，为增加知识总量、以及运用这些知识去创造新的应用进行的系统的创造性的活动，包括基础研究、应用研究、试验发展三类活动。</w:t>
      </w:r>
    </w:p>
    <w:p w:rsidR="00EE238C" w:rsidRPr="00E648FA" w:rsidRDefault="00EE238C" w:rsidP="00EE238C">
      <w:pPr>
        <w:spacing w:line="360" w:lineRule="exact"/>
        <w:ind w:firstLineChars="200" w:firstLine="422"/>
        <w:rPr>
          <w:rFonts w:ascii="宋体" w:hAnsi="宋体" w:cs="宋体"/>
          <w:color w:val="000000" w:themeColor="text1"/>
          <w:szCs w:val="21"/>
        </w:rPr>
      </w:pPr>
      <w:r w:rsidRPr="00E648FA">
        <w:rPr>
          <w:rFonts w:ascii="黑体" w:eastAsia="黑体" w:hAnsi="宋体" w:cs="黑体" w:hint="eastAsia"/>
          <w:b/>
          <w:color w:val="000000" w:themeColor="text1"/>
          <w:szCs w:val="21"/>
        </w:rPr>
        <w:t>期末研发机构</w:t>
      </w:r>
      <w:r w:rsidRPr="00E648FA">
        <w:rPr>
          <w:rFonts w:ascii="宋体" w:hAnsi="宋体" w:cs="黑体"/>
          <w:color w:val="000000" w:themeColor="text1"/>
          <w:szCs w:val="21"/>
        </w:rPr>
        <w:t xml:space="preserve">  </w:t>
      </w:r>
      <w:r w:rsidRPr="00E648FA">
        <w:rPr>
          <w:rFonts w:ascii="宋体" w:hAnsi="宋体" w:cs="黑体" w:hint="eastAsia"/>
          <w:color w:val="000000" w:themeColor="text1"/>
          <w:szCs w:val="21"/>
        </w:rPr>
        <w:t>指报告期末调查单位内有建制的从事研发活动的科研机构。企业办研发机构指企业</w:t>
      </w:r>
      <w:r w:rsidRPr="00E648FA">
        <w:rPr>
          <w:rFonts w:ascii="宋体" w:hAnsi="宋体" w:cs="宋体" w:hint="eastAsia"/>
          <w:color w:val="000000" w:themeColor="text1"/>
          <w:szCs w:val="21"/>
        </w:rPr>
        <w:t>自办（或与外单位合办），管理上同生产系统相对独立（或单独核算）的专门研发活动机构，如企业办的技术中心、研究院所、开发中心、开发部、实验室、中试车间、试验基地等。企业办研发活动机构经过资源整合，被国家或省级有关部门认定为国家级或省级技术中心的，应按一个机构填报。与外单位合办的研发活动机构若主要由本企业出资兴办，则由本企业统计，否则应由合办方统计。企业研发管理职能处（科）室（如科研处、技术科等）一般不统计在内；若科研处、技术科等同时挂有研发活动机构的牌子，视其报告期内主要工作任务而定，主要任务是从事研发活动的可以统计，否则不予统计。本指标不含企业在国外或港澳台设立的研发活动机构数。</w:t>
      </w:r>
    </w:p>
    <w:p w:rsidR="00EE238C" w:rsidRPr="00E648FA" w:rsidRDefault="00EE238C" w:rsidP="00EE238C">
      <w:pPr>
        <w:spacing w:line="360" w:lineRule="exact"/>
        <w:ind w:firstLineChars="200" w:firstLine="422"/>
        <w:rPr>
          <w:rFonts w:ascii="宋体" w:hAnsi="宋体" w:cs="宋体"/>
          <w:color w:val="000000" w:themeColor="text1"/>
          <w:szCs w:val="21"/>
        </w:rPr>
      </w:pPr>
      <w:r w:rsidRPr="00E648FA">
        <w:rPr>
          <w:rFonts w:ascii="黑体" w:eastAsia="黑体" w:hAnsi="宋体" w:cs="黑体" w:hint="eastAsia"/>
          <w:b/>
          <w:color w:val="000000" w:themeColor="text1"/>
          <w:szCs w:val="21"/>
        </w:rPr>
        <w:t>研发人员</w:t>
      </w:r>
      <w:r w:rsidRPr="00E648FA">
        <w:rPr>
          <w:rFonts w:ascii="宋体" w:hAnsi="宋体" w:cs="宋体"/>
          <w:b/>
          <w:color w:val="000000" w:themeColor="text1"/>
          <w:szCs w:val="21"/>
        </w:rPr>
        <w:t xml:space="preserve"> </w:t>
      </w:r>
      <w:r w:rsidRPr="00E648FA">
        <w:rPr>
          <w:rFonts w:ascii="宋体" w:hAnsi="宋体" w:cs="宋体"/>
          <w:color w:val="000000" w:themeColor="text1"/>
          <w:szCs w:val="21"/>
        </w:rPr>
        <w:t xml:space="preserve"> </w:t>
      </w:r>
      <w:r w:rsidRPr="00E648FA">
        <w:rPr>
          <w:rFonts w:ascii="宋体" w:hAnsi="宋体" w:cs="宋体" w:hint="eastAsia"/>
          <w:color w:val="000000" w:themeColor="text1"/>
          <w:szCs w:val="21"/>
        </w:rPr>
        <w:t>指报告期内企业内部直接参加研发项目人员，以及研发活动的管理和直接服务的人员。不包括全年累计从事研发活动时间占制度工作时间</w:t>
      </w:r>
      <w:r w:rsidRPr="00E648FA">
        <w:rPr>
          <w:rFonts w:ascii="宋体" w:hAnsi="宋体" w:cs="宋体"/>
          <w:color w:val="000000" w:themeColor="text1"/>
          <w:szCs w:val="21"/>
        </w:rPr>
        <w:t>10%</w:t>
      </w:r>
      <w:r w:rsidRPr="00E648FA">
        <w:rPr>
          <w:rFonts w:ascii="宋体" w:hAnsi="宋体" w:cs="宋体" w:hint="eastAsia"/>
          <w:color w:val="000000" w:themeColor="text1"/>
          <w:szCs w:val="21"/>
        </w:rPr>
        <w:t>以下的人员。</w:t>
      </w:r>
    </w:p>
    <w:p w:rsidR="00EE238C" w:rsidRPr="00E648FA" w:rsidRDefault="00EE238C" w:rsidP="00EE238C">
      <w:pPr>
        <w:spacing w:line="360" w:lineRule="exact"/>
        <w:ind w:firstLineChars="200" w:firstLine="422"/>
        <w:rPr>
          <w:rFonts w:ascii="宋体" w:hAnsi="宋体" w:cs="宋体"/>
          <w:color w:val="000000" w:themeColor="text1"/>
          <w:szCs w:val="21"/>
        </w:rPr>
      </w:pPr>
      <w:r w:rsidRPr="00E648FA">
        <w:rPr>
          <w:rFonts w:ascii="黑体" w:eastAsia="黑体" w:hAnsi="宋体" w:cs="黑体" w:hint="eastAsia"/>
          <w:b/>
          <w:color w:val="000000" w:themeColor="text1"/>
          <w:szCs w:val="21"/>
        </w:rPr>
        <w:t>研发（R&amp;D</w:t>
      </w:r>
      <w:r w:rsidRPr="00E648FA">
        <w:rPr>
          <w:rFonts w:ascii="黑体" w:eastAsia="黑体" w:hAnsi="宋体" w:cs="黑体"/>
          <w:b/>
          <w:color w:val="000000" w:themeColor="text1"/>
          <w:szCs w:val="21"/>
        </w:rPr>
        <w:t>）</w:t>
      </w:r>
      <w:r w:rsidRPr="00E648FA">
        <w:rPr>
          <w:rFonts w:ascii="黑体" w:eastAsia="黑体" w:hAnsi="宋体" w:cs="黑体" w:hint="eastAsia"/>
          <w:b/>
          <w:color w:val="000000" w:themeColor="text1"/>
          <w:szCs w:val="21"/>
        </w:rPr>
        <w:t xml:space="preserve">经费支出 </w:t>
      </w:r>
      <w:r w:rsidRPr="00E648FA">
        <w:rPr>
          <w:rFonts w:ascii="黑体" w:eastAsia="黑体" w:hAnsi="宋体" w:cs="黑体" w:hint="eastAsia"/>
          <w:color w:val="000000" w:themeColor="text1"/>
          <w:szCs w:val="21"/>
        </w:rPr>
        <w:t xml:space="preserve"> </w:t>
      </w:r>
      <w:r w:rsidRPr="00E648FA">
        <w:rPr>
          <w:rFonts w:ascii="宋体" w:hAnsi="宋体" w:cs="宋体" w:hint="eastAsia"/>
          <w:color w:val="000000" w:themeColor="text1"/>
          <w:szCs w:val="21"/>
        </w:rPr>
        <w:t>指报告期内企业研发活动的经费支出合计，包括企业内部的日常研发经费支出，当年形成用于研发的固定资产支出和委托外单位开展研发的经费支出。</w:t>
      </w:r>
    </w:p>
    <w:p w:rsidR="00EE238C" w:rsidRPr="00E648FA" w:rsidRDefault="00EE238C" w:rsidP="00EE238C">
      <w:pPr>
        <w:spacing w:line="360" w:lineRule="exact"/>
        <w:ind w:firstLineChars="200" w:firstLine="422"/>
        <w:rPr>
          <w:rFonts w:ascii="宋体" w:hAnsi="宋体" w:cs="宋体"/>
          <w:color w:val="000000" w:themeColor="text1"/>
          <w:szCs w:val="21"/>
        </w:rPr>
      </w:pPr>
      <w:r w:rsidRPr="00E648FA">
        <w:rPr>
          <w:rFonts w:ascii="黑体" w:eastAsia="黑体" w:hAnsi="宋体" w:cs="黑体" w:hint="eastAsia"/>
          <w:b/>
          <w:color w:val="000000" w:themeColor="text1"/>
          <w:szCs w:val="21"/>
        </w:rPr>
        <w:t>企业内部的日常研发经费支出</w:t>
      </w:r>
      <w:r w:rsidRPr="00E648FA">
        <w:rPr>
          <w:rFonts w:ascii="黑体" w:eastAsia="黑体" w:hAnsi="宋体" w:cs="黑体" w:hint="eastAsia"/>
          <w:color w:val="000000" w:themeColor="text1"/>
          <w:szCs w:val="21"/>
        </w:rPr>
        <w:t xml:space="preserve">  </w:t>
      </w:r>
      <w:r w:rsidRPr="00E648FA">
        <w:rPr>
          <w:rFonts w:ascii="宋体" w:hAnsi="宋体" w:cs="宋体" w:hint="eastAsia"/>
          <w:color w:val="000000" w:themeColor="text1"/>
          <w:szCs w:val="21"/>
        </w:rPr>
        <w:t>指报告期内企业内部研发活动的直接支出，以及用于研发活动的管理费、服务费以及外协加工费等支出。不包括当年形成用于研发的固定资产支出、委托外单位开展研发的经费支出、生产性活动支出、归还贷款支出以及购买专利等无形资产支出。对于在财务上单独核算研究开发费或技术开发费的企业，该指标直接抄取相应会计科目当年实际发生额，包括人员人工费、直接投入（包括原材料费等）、折旧费用与长期费用摊销、无形资产摊销、其他费用（含设计费、装备调试费等）等。对于在财务上未单独核算研究开发费或技术开发费的企业，该指标应分项目归集整理，即按项目分列人员劳务费、原材料费、其他费用等支出项，再加上未列入项目经费的相关人员工资、管理和服务费用等支出取得。</w:t>
      </w:r>
    </w:p>
    <w:p w:rsidR="00EE238C" w:rsidRPr="00E648FA" w:rsidRDefault="00EE238C" w:rsidP="00EE238C">
      <w:pPr>
        <w:spacing w:line="340" w:lineRule="exact"/>
        <w:rPr>
          <w:rFonts w:ascii="方正书宋简体" w:eastAsia="方正书宋简体"/>
          <w:color w:val="000000" w:themeColor="text1"/>
          <w:szCs w:val="21"/>
        </w:rPr>
      </w:pPr>
      <w:r w:rsidRPr="00E648FA">
        <w:rPr>
          <w:rFonts w:ascii="方正书宋简体" w:eastAsia="方正书宋简体" w:hint="eastAsia"/>
          <w:color w:val="000000" w:themeColor="text1"/>
          <w:szCs w:val="21"/>
        </w:rPr>
        <w:t xml:space="preserve">    </w:t>
      </w:r>
      <w:r w:rsidRPr="00E648FA">
        <w:rPr>
          <w:rFonts w:ascii="方正书宋简体" w:eastAsia="方正书宋简体" w:hint="eastAsia"/>
          <w:b/>
          <w:color w:val="000000" w:themeColor="text1"/>
          <w:szCs w:val="21"/>
        </w:rPr>
        <w:t>文化事业机构</w:t>
      </w:r>
      <w:r w:rsidRPr="00E648FA">
        <w:rPr>
          <w:rFonts w:ascii="方正书宋简体" w:eastAsia="方正书宋简体" w:hint="eastAsia"/>
          <w:color w:val="000000" w:themeColor="text1"/>
          <w:szCs w:val="21"/>
        </w:rPr>
        <w:t xml:space="preserve">  指从事专业文化工作和为专业文化工作服务的独立建制的单独核算的单位。不包括这些单位另外举办独立核算的其他机构和各部门的业余文化组织。</w:t>
      </w:r>
    </w:p>
    <w:p w:rsidR="00EE238C" w:rsidRPr="00E648FA" w:rsidRDefault="00EE238C" w:rsidP="00EE238C">
      <w:pPr>
        <w:spacing w:line="340" w:lineRule="exact"/>
        <w:rPr>
          <w:rFonts w:ascii="方正书宋简体" w:eastAsia="方正书宋简体"/>
          <w:color w:val="000000" w:themeColor="text1"/>
          <w:szCs w:val="21"/>
        </w:rPr>
      </w:pPr>
      <w:r w:rsidRPr="00E648FA">
        <w:rPr>
          <w:rFonts w:ascii="方正书宋简体" w:eastAsia="方正书宋简体" w:hint="eastAsia"/>
          <w:color w:val="000000" w:themeColor="text1"/>
          <w:szCs w:val="21"/>
        </w:rPr>
        <w:t xml:space="preserve">    </w:t>
      </w:r>
      <w:r w:rsidRPr="00E648FA">
        <w:rPr>
          <w:rFonts w:ascii="方正书宋简体" w:eastAsia="方正书宋简体" w:hint="eastAsia"/>
          <w:b/>
          <w:color w:val="000000" w:themeColor="text1"/>
          <w:szCs w:val="21"/>
        </w:rPr>
        <w:t>艺术表演团体</w:t>
      </w:r>
      <w:r w:rsidRPr="00E648FA">
        <w:rPr>
          <w:rFonts w:ascii="方正书宋简体" w:eastAsia="方正书宋简体" w:hint="eastAsia"/>
          <w:color w:val="000000" w:themeColor="text1"/>
          <w:szCs w:val="21"/>
        </w:rPr>
        <w:t xml:space="preserve">  指从事戏曲、音乐、舞蹈、杂技等专业艺术表演，有独立账户，实行单独核算的团体。不包括半工半艺、半农半艺和民间职业剧团。</w:t>
      </w:r>
    </w:p>
    <w:p w:rsidR="00EE238C" w:rsidRPr="00E648FA" w:rsidRDefault="00EE238C" w:rsidP="00EE238C">
      <w:pPr>
        <w:spacing w:line="340" w:lineRule="exact"/>
        <w:rPr>
          <w:rFonts w:ascii="方正书宋简体" w:eastAsia="方正书宋简体"/>
          <w:color w:val="000000" w:themeColor="text1"/>
          <w:szCs w:val="21"/>
        </w:rPr>
      </w:pPr>
      <w:r w:rsidRPr="00E648FA">
        <w:rPr>
          <w:rFonts w:ascii="方正书宋简体" w:eastAsia="方正书宋简体" w:hint="eastAsia"/>
          <w:color w:val="000000" w:themeColor="text1"/>
          <w:szCs w:val="21"/>
        </w:rPr>
        <w:t xml:space="preserve">    </w:t>
      </w:r>
      <w:r w:rsidRPr="00E648FA">
        <w:rPr>
          <w:rFonts w:ascii="方正书宋简体" w:eastAsia="方正书宋简体" w:hint="eastAsia"/>
          <w:b/>
          <w:color w:val="000000" w:themeColor="text1"/>
          <w:szCs w:val="21"/>
        </w:rPr>
        <w:t>电影放映单位</w:t>
      </w:r>
      <w:r w:rsidRPr="00E648FA">
        <w:rPr>
          <w:rFonts w:ascii="方正书宋简体" w:eastAsia="方正书宋简体" w:hint="eastAsia"/>
          <w:color w:val="000000" w:themeColor="text1"/>
          <w:szCs w:val="21"/>
        </w:rPr>
        <w:t xml:space="preserve">  指具有放映机器设备、固定或不固定的放映场所与专职或兼职的放映技术人员，</w:t>
      </w:r>
      <w:r w:rsidRPr="00E648FA">
        <w:rPr>
          <w:rFonts w:ascii="方正书宋简体" w:eastAsia="方正书宋简体" w:hint="eastAsia"/>
          <w:color w:val="000000" w:themeColor="text1"/>
          <w:szCs w:val="21"/>
        </w:rPr>
        <w:lastRenderedPageBreak/>
        <w:t>经有关部门登记批准，经常为一定的观众对象放映电影的机构。包括经批准对外开放进行营业，并与电影发行放映管理机构分账的专用放映单位和军委系统租片单位。</w:t>
      </w:r>
    </w:p>
    <w:p w:rsidR="00EE238C" w:rsidRPr="00E648FA" w:rsidRDefault="00EE238C" w:rsidP="00EE238C">
      <w:pPr>
        <w:spacing w:line="340" w:lineRule="exact"/>
        <w:rPr>
          <w:rFonts w:ascii="方正书宋简体" w:eastAsia="方正书宋简体"/>
          <w:color w:val="000000" w:themeColor="text1"/>
          <w:szCs w:val="21"/>
        </w:rPr>
      </w:pPr>
      <w:r w:rsidRPr="00E648FA">
        <w:rPr>
          <w:rFonts w:ascii="方正书宋简体" w:eastAsia="方正书宋简体" w:hint="eastAsia"/>
          <w:color w:val="000000" w:themeColor="text1"/>
          <w:szCs w:val="21"/>
        </w:rPr>
        <w:t xml:space="preserve">    </w:t>
      </w:r>
      <w:r w:rsidRPr="00E648FA">
        <w:rPr>
          <w:rFonts w:ascii="方正书宋简体" w:eastAsia="方正书宋简体" w:hint="eastAsia"/>
          <w:b/>
          <w:color w:val="000000" w:themeColor="text1"/>
          <w:szCs w:val="21"/>
        </w:rPr>
        <w:t xml:space="preserve">艺术表演观众人数（人次） </w:t>
      </w:r>
      <w:r w:rsidRPr="00E648FA">
        <w:rPr>
          <w:rFonts w:ascii="方正书宋简体" w:eastAsia="方正书宋简体" w:hint="eastAsia"/>
          <w:color w:val="000000" w:themeColor="text1"/>
          <w:szCs w:val="21"/>
        </w:rPr>
        <w:t xml:space="preserve"> 指售票、包场演出或民族地区免费演出的艺术表演观众人次数。不包括彩排审查和内部观摩演出的观看人次数。</w:t>
      </w:r>
    </w:p>
    <w:p w:rsidR="00EE238C" w:rsidRPr="00E648FA" w:rsidRDefault="00EE238C" w:rsidP="00EE238C">
      <w:pPr>
        <w:spacing w:line="340" w:lineRule="exact"/>
        <w:ind w:firstLineChars="196" w:firstLine="412"/>
        <w:rPr>
          <w:rFonts w:ascii="方正书宋简体" w:eastAsia="方正书宋简体"/>
          <w:color w:val="000000" w:themeColor="text1"/>
          <w:szCs w:val="21"/>
        </w:rPr>
      </w:pPr>
      <w:r w:rsidRPr="00E648FA">
        <w:rPr>
          <w:rFonts w:ascii="方正书宋简体" w:eastAsia="方正书宋简体" w:hint="eastAsia"/>
          <w:b/>
          <w:color w:val="000000" w:themeColor="text1"/>
          <w:szCs w:val="21"/>
        </w:rPr>
        <w:t>卫生技术人员</w:t>
      </w:r>
      <w:r w:rsidRPr="00E648FA">
        <w:rPr>
          <w:rFonts w:ascii="方正书宋简体" w:eastAsia="方正书宋简体" w:hint="eastAsia"/>
          <w:color w:val="000000" w:themeColor="text1"/>
          <w:szCs w:val="21"/>
        </w:rPr>
        <w:t xml:space="preserve">  指卫生事业机构支付工资的全部固定职工和合同制职工，现任职务为卫生技术工作的专业人员。包括中医师、西医师、中西医结合高级医师、护师、中药师、西药师、检验师、其他技师、中医士、西医士、护士、助产士、中药剂士、西药剂士、检验士、其他技士、其他中医、护理员、中药剂员、西药剂员、检验员、其他初级卫生技术人员。</w:t>
      </w:r>
    </w:p>
    <w:p w:rsidR="00EE238C" w:rsidRPr="00E648FA" w:rsidRDefault="00EE238C" w:rsidP="00EE238C">
      <w:pPr>
        <w:spacing w:line="340" w:lineRule="exact"/>
        <w:ind w:firstLineChars="200" w:firstLine="420"/>
        <w:rPr>
          <w:rFonts w:ascii="方正书宋简体" w:eastAsia="方正书宋简体"/>
          <w:color w:val="000000" w:themeColor="text1"/>
          <w:szCs w:val="21"/>
        </w:rPr>
      </w:pPr>
      <w:r w:rsidRPr="00E648FA">
        <w:rPr>
          <w:rFonts w:ascii="方正书宋简体" w:eastAsia="方正书宋简体" w:hint="eastAsia"/>
          <w:b/>
          <w:color w:val="000000" w:themeColor="text1"/>
          <w:szCs w:val="21"/>
        </w:rPr>
        <w:t>医生</w:t>
      </w:r>
      <w:r w:rsidRPr="00E648FA">
        <w:rPr>
          <w:rFonts w:ascii="方正书宋简体" w:eastAsia="方正书宋简体" w:hint="eastAsia"/>
          <w:color w:val="000000" w:themeColor="text1"/>
          <w:szCs w:val="21"/>
        </w:rPr>
        <w:t xml:space="preserve">  指经卫生部门审查合格，具有执业资格的医疗专业人员。</w:t>
      </w:r>
    </w:p>
    <w:p w:rsidR="00EE238C" w:rsidRPr="00E648FA" w:rsidRDefault="00EE238C" w:rsidP="00EE238C">
      <w:pPr>
        <w:spacing w:line="340" w:lineRule="exact"/>
        <w:ind w:firstLine="420"/>
        <w:rPr>
          <w:rFonts w:ascii="方正书宋简体" w:eastAsia="方正书宋简体"/>
          <w:color w:val="000000" w:themeColor="text1"/>
          <w:szCs w:val="21"/>
        </w:rPr>
      </w:pPr>
      <w:r w:rsidRPr="00E648FA">
        <w:rPr>
          <w:rFonts w:ascii="方正书宋简体" w:eastAsia="方正书宋简体" w:hint="eastAsia"/>
          <w:color w:val="000000" w:themeColor="text1"/>
          <w:szCs w:val="21"/>
        </w:rPr>
        <w:t>社会福利事业单位指集中收养社会孤、老、残，幼的机构，包括由民政部门管理的社会福利院、儿童福利院、精神病人、福利院和城镇集体办的福利院、以及农村集体举办的敬老院。</w:t>
      </w:r>
    </w:p>
    <w:p w:rsidR="00EE238C" w:rsidRPr="00E648FA" w:rsidRDefault="00EE238C" w:rsidP="00EE238C">
      <w:pPr>
        <w:spacing w:line="340" w:lineRule="exact"/>
        <w:ind w:firstLine="420"/>
        <w:rPr>
          <w:rFonts w:ascii="方正书宋简体" w:eastAsia="方正书宋简体"/>
          <w:color w:val="000000" w:themeColor="text1"/>
          <w:szCs w:val="21"/>
        </w:rPr>
      </w:pPr>
      <w:r w:rsidRPr="00E648FA">
        <w:rPr>
          <w:rFonts w:ascii="方正书宋简体" w:eastAsia="方正书宋简体" w:hint="eastAsia"/>
          <w:b/>
          <w:color w:val="000000" w:themeColor="text1"/>
          <w:szCs w:val="21"/>
        </w:rPr>
        <w:t>文化及相关产业</w:t>
      </w:r>
      <w:r w:rsidRPr="00E648FA">
        <w:rPr>
          <w:rFonts w:ascii="方正书宋简体" w:eastAsia="方正书宋简体" w:hint="eastAsia"/>
          <w:color w:val="000000" w:themeColor="text1"/>
          <w:szCs w:val="21"/>
        </w:rPr>
        <w:t xml:space="preserve">   指为社会公众提供文化产品和文化相关产品的生产活动的集合。</w:t>
      </w:r>
    </w:p>
    <w:p w:rsidR="00EE238C" w:rsidRPr="00E648FA" w:rsidRDefault="00EE238C" w:rsidP="00EE238C">
      <w:pPr>
        <w:spacing w:line="340" w:lineRule="exact"/>
        <w:ind w:firstLine="420"/>
        <w:rPr>
          <w:rFonts w:ascii="方正书宋简体" w:eastAsia="方正书宋简体"/>
          <w:color w:val="000000" w:themeColor="text1"/>
          <w:szCs w:val="21"/>
        </w:rPr>
      </w:pPr>
    </w:p>
    <w:p w:rsidR="00EE238C" w:rsidRPr="00E648FA" w:rsidRDefault="00EE238C" w:rsidP="00EE238C">
      <w:pPr>
        <w:spacing w:line="480" w:lineRule="exact"/>
        <w:ind w:firstLineChars="200" w:firstLine="420"/>
        <w:rPr>
          <w:color w:val="000000" w:themeColor="text1"/>
        </w:rPr>
      </w:pPr>
    </w:p>
    <w:p w:rsidR="00EE238C" w:rsidRPr="00E648FA" w:rsidRDefault="00EE238C">
      <w:pPr>
        <w:rPr>
          <w:color w:val="000000" w:themeColor="text1"/>
        </w:rPr>
      </w:pPr>
    </w:p>
    <w:sectPr w:rsidR="00EE238C" w:rsidRPr="00E648FA" w:rsidSect="002A1E39">
      <w:pgSz w:w="11907" w:h="16840" w:code="9"/>
      <w:pgMar w:top="1418" w:right="1418" w:bottom="1418" w:left="1418" w:header="851" w:footer="102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467F" w:rsidRDefault="0002467F" w:rsidP="00E648FA">
      <w:r>
        <w:separator/>
      </w:r>
    </w:p>
  </w:endnote>
  <w:endnote w:type="continuationSeparator" w:id="1">
    <w:p w:rsidR="0002467F" w:rsidRDefault="0002467F" w:rsidP="00E648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467F" w:rsidRDefault="0002467F" w:rsidP="00E648FA">
      <w:r>
        <w:separator/>
      </w:r>
    </w:p>
  </w:footnote>
  <w:footnote w:type="continuationSeparator" w:id="1">
    <w:p w:rsidR="0002467F" w:rsidRDefault="0002467F" w:rsidP="00E648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238C"/>
    <w:rsid w:val="0002467F"/>
    <w:rsid w:val="00E648FA"/>
    <w:rsid w:val="00EE238C"/>
    <w:rsid w:val="00FD2F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38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首行缩进 Char"/>
    <w:basedOn w:val="Char0"/>
    <w:link w:val="a3"/>
    <w:locked/>
    <w:rsid w:val="00EE238C"/>
  </w:style>
  <w:style w:type="paragraph" w:styleId="a4">
    <w:name w:val="Body Text"/>
    <w:basedOn w:val="a"/>
    <w:link w:val="Char0"/>
    <w:uiPriority w:val="99"/>
    <w:semiHidden/>
    <w:unhideWhenUsed/>
    <w:rsid w:val="00EE238C"/>
    <w:pPr>
      <w:spacing w:after="120"/>
    </w:pPr>
  </w:style>
  <w:style w:type="character" w:customStyle="1" w:styleId="Char0">
    <w:name w:val="正文文本 Char"/>
    <w:basedOn w:val="a0"/>
    <w:link w:val="a4"/>
    <w:uiPriority w:val="99"/>
    <w:semiHidden/>
    <w:rsid w:val="00EE238C"/>
    <w:rPr>
      <w:rFonts w:ascii="Times New Roman" w:eastAsia="宋体" w:hAnsi="Times New Roman" w:cs="Times New Roman"/>
      <w:szCs w:val="24"/>
    </w:rPr>
  </w:style>
  <w:style w:type="paragraph" w:styleId="a3">
    <w:name w:val="Body Text First Indent"/>
    <w:basedOn w:val="a4"/>
    <w:link w:val="Char"/>
    <w:rsid w:val="00EE238C"/>
    <w:pPr>
      <w:ind w:firstLineChars="100" w:firstLine="420"/>
    </w:pPr>
    <w:rPr>
      <w:rFonts w:asciiTheme="minorHAnsi" w:hAnsiTheme="minorHAnsi" w:cstheme="minorBidi"/>
    </w:rPr>
  </w:style>
  <w:style w:type="character" w:customStyle="1" w:styleId="Char1">
    <w:name w:val="正文首行缩进 Char1"/>
    <w:basedOn w:val="Char0"/>
    <w:link w:val="a3"/>
    <w:uiPriority w:val="99"/>
    <w:semiHidden/>
    <w:rsid w:val="00EE238C"/>
  </w:style>
  <w:style w:type="paragraph" w:styleId="a5">
    <w:name w:val="header"/>
    <w:basedOn w:val="a"/>
    <w:link w:val="Char2"/>
    <w:uiPriority w:val="99"/>
    <w:semiHidden/>
    <w:unhideWhenUsed/>
    <w:rsid w:val="00E648F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5"/>
    <w:uiPriority w:val="99"/>
    <w:semiHidden/>
    <w:rsid w:val="00E648FA"/>
    <w:rPr>
      <w:rFonts w:ascii="Times New Roman" w:eastAsia="宋体" w:hAnsi="Times New Roman" w:cs="Times New Roman"/>
      <w:sz w:val="18"/>
      <w:szCs w:val="18"/>
    </w:rPr>
  </w:style>
  <w:style w:type="paragraph" w:styleId="a6">
    <w:name w:val="footer"/>
    <w:basedOn w:val="a"/>
    <w:link w:val="Char3"/>
    <w:uiPriority w:val="99"/>
    <w:semiHidden/>
    <w:unhideWhenUsed/>
    <w:rsid w:val="00E648FA"/>
    <w:pPr>
      <w:tabs>
        <w:tab w:val="center" w:pos="4153"/>
        <w:tab w:val="right" w:pos="8306"/>
      </w:tabs>
      <w:snapToGrid w:val="0"/>
      <w:jc w:val="left"/>
    </w:pPr>
    <w:rPr>
      <w:sz w:val="18"/>
      <w:szCs w:val="18"/>
    </w:rPr>
  </w:style>
  <w:style w:type="character" w:customStyle="1" w:styleId="Char3">
    <w:name w:val="页脚 Char"/>
    <w:basedOn w:val="a0"/>
    <w:link w:val="a6"/>
    <w:uiPriority w:val="99"/>
    <w:semiHidden/>
    <w:rsid w:val="00E648F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275</Words>
  <Characters>1573</Characters>
  <Application>Microsoft Office Word</Application>
  <DocSecurity>0</DocSecurity>
  <Lines>13</Lines>
  <Paragraphs>3</Paragraphs>
  <ScaleCrop>false</ScaleCrop>
  <Company>P R C</Company>
  <LinksUpToDate>false</LinksUpToDate>
  <CharactersWithSpaces>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3</cp:revision>
  <dcterms:created xsi:type="dcterms:W3CDTF">2017-05-26T03:20:00Z</dcterms:created>
  <dcterms:modified xsi:type="dcterms:W3CDTF">2017-07-27T07:10:00Z</dcterms:modified>
</cp:coreProperties>
</file>