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7D7" w:rsidRPr="00411FAD" w:rsidRDefault="005B67D7" w:rsidP="005B67D7">
      <w:pPr>
        <w:widowControl/>
        <w:spacing w:line="420" w:lineRule="atLeast"/>
        <w:ind w:firstLine="641"/>
        <w:rPr>
          <w:rFonts w:ascii="仿宋_GB2312" w:eastAsia="仿宋_GB2312"/>
          <w:color w:val="000000" w:themeColor="text1"/>
          <w:sz w:val="32"/>
        </w:rPr>
      </w:pPr>
      <w:r w:rsidRPr="00411FAD">
        <w:rPr>
          <w:rFonts w:ascii="仿宋_GB2312" w:eastAsia="仿宋_GB2312" w:hint="eastAsia"/>
          <w:color w:val="000000" w:themeColor="text1"/>
          <w:sz w:val="32"/>
        </w:rPr>
        <w:t>人均可支配收入21397元，增长9.5%。农村常住居民人均可支配收入13224元，增长11.0%。城乡居民收入比为1.62︰1，比上年下降0.02个百分点。</w:t>
      </w:r>
    </w:p>
    <w:p w:rsidR="005B67D7" w:rsidRPr="00411FAD" w:rsidRDefault="005B67D7" w:rsidP="005B67D7">
      <w:pPr>
        <w:ind w:firstLineChars="200" w:firstLine="640"/>
        <w:rPr>
          <w:rFonts w:ascii="仿宋_GB2312" w:eastAsia="仿宋_GB2312"/>
          <w:color w:val="000000" w:themeColor="text1"/>
          <w:sz w:val="32"/>
          <w:szCs w:val="32"/>
        </w:rPr>
      </w:pPr>
      <w:r w:rsidRPr="00411FAD">
        <w:rPr>
          <w:rFonts w:ascii="仿宋_GB2312" w:eastAsia="仿宋_GB2312" w:hint="eastAsia"/>
          <w:color w:val="000000" w:themeColor="text1"/>
          <w:sz w:val="32"/>
          <w:szCs w:val="32"/>
        </w:rPr>
        <w:t>2015年末全市参加城镇职工基本养老保险（含离退休）125.8万人，比上年末增长18.7%，其中参保职工81万人，增长15.3%。参加城乡（镇）基本医疗保险685万人，增长3.8%,其中参加城乡（镇）居民基本医疗保险643万人，增长3.9%。参加工伤保险36万人，参加失业保险26万人。参加生育保险28万人，增长8.2%。</w:t>
      </w:r>
    </w:p>
    <w:p w:rsidR="005B67D7" w:rsidRPr="00411FAD" w:rsidRDefault="005B67D7" w:rsidP="005B67D7">
      <w:pPr>
        <w:ind w:firstLineChars="200" w:firstLine="640"/>
        <w:rPr>
          <w:rFonts w:ascii="仿宋_GB2312" w:eastAsia="仿宋_GB2312"/>
          <w:color w:val="000000" w:themeColor="text1"/>
          <w:sz w:val="32"/>
          <w:szCs w:val="32"/>
        </w:rPr>
      </w:pPr>
      <w:r w:rsidRPr="00411FAD">
        <w:rPr>
          <w:rFonts w:ascii="仿宋_GB2312" w:eastAsia="仿宋_GB2312" w:hint="eastAsia"/>
          <w:color w:val="000000" w:themeColor="text1"/>
          <w:sz w:val="32"/>
          <w:szCs w:val="32"/>
        </w:rPr>
        <w:t>2015年末，全市有各类社会福利院7所，收养孤儿626人,敬老院105所,集中供养老人2248人,分散供养老人30951人。全市居民最低生活保障已保93314户，人数191208人，发放最低生活保障费47622万元。全市农村五保供养对象33199人，集中和分散供养水平分别达到年人均7827元和7176元。全市有养老床位24467张，其中民办养老机构拥有床位10774张。全市共发行福利彩票4.78亿元，为国家和地方筹集福彩公益金1.43亿元。</w:t>
      </w:r>
    </w:p>
    <w:p w:rsidR="005B67D7" w:rsidRPr="00411FAD" w:rsidRDefault="005B67D7" w:rsidP="005B67D7">
      <w:pPr>
        <w:ind w:firstLineChars="200" w:firstLine="640"/>
        <w:rPr>
          <w:rFonts w:ascii="仿宋_GB2312" w:eastAsia="仿宋_GB2312"/>
          <w:color w:val="000000" w:themeColor="text1"/>
          <w:sz w:val="32"/>
        </w:rPr>
      </w:pPr>
      <w:r w:rsidRPr="00411FAD">
        <w:rPr>
          <w:rFonts w:ascii="仿宋_GB2312" w:eastAsia="仿宋_GB2312" w:hint="eastAsia"/>
          <w:color w:val="000000" w:themeColor="text1"/>
          <w:sz w:val="32"/>
        </w:rPr>
        <w:t>全年共发生各类生产事故1153起，死亡254人，受伤723人，直接经济损失2149.52万元，亿元地区生产总值生产安全事故死亡率为0.10。全年发生道路交通事故695起，下降7.2%；死亡235人，下降0.4%；受伤713人，下降6.9%。道路交通万车死亡率为1.48。其中：生产经营性交</w:t>
      </w:r>
      <w:r w:rsidRPr="00411FAD">
        <w:rPr>
          <w:rFonts w:ascii="仿宋_GB2312" w:eastAsia="仿宋_GB2312" w:hint="eastAsia"/>
          <w:color w:val="000000" w:themeColor="text1"/>
          <w:sz w:val="32"/>
        </w:rPr>
        <w:lastRenderedPageBreak/>
        <w:t>通事故121起，下降12.3%；经济损失58.21万元，下降8.1%；受伤127人，上升18.7%；死亡76人，上升11.8%。</w:t>
      </w:r>
    </w:p>
    <w:p w:rsidR="005B67D7" w:rsidRPr="00411FAD" w:rsidRDefault="005B67D7" w:rsidP="005B67D7">
      <w:pPr>
        <w:rPr>
          <w:rFonts w:ascii="仿宋_GB2312" w:eastAsia="仿宋_GB2312"/>
          <w:color w:val="000000" w:themeColor="text1"/>
          <w:sz w:val="32"/>
        </w:rPr>
      </w:pPr>
    </w:p>
    <w:p w:rsidR="005B67D7" w:rsidRPr="00411FAD" w:rsidRDefault="005B67D7" w:rsidP="005B67D7">
      <w:pPr>
        <w:rPr>
          <w:rFonts w:ascii="仿宋_GB2312" w:eastAsia="仿宋_GB2312"/>
          <w:color w:val="000000" w:themeColor="text1"/>
          <w:sz w:val="32"/>
        </w:rPr>
      </w:pPr>
      <w:r w:rsidRPr="00411FAD">
        <w:rPr>
          <w:rFonts w:ascii="仿宋_GB2312" w:eastAsia="仿宋_GB2312" w:hint="eastAsia"/>
          <w:color w:val="000000" w:themeColor="text1"/>
          <w:sz w:val="32"/>
        </w:rPr>
        <w:t>注：</w:t>
      </w:r>
    </w:p>
    <w:p w:rsidR="005B67D7" w:rsidRPr="00411FAD" w:rsidRDefault="005B67D7" w:rsidP="005B67D7">
      <w:pPr>
        <w:ind w:firstLineChars="200" w:firstLine="640"/>
        <w:rPr>
          <w:rFonts w:ascii="仿宋_GB2312" w:eastAsia="仿宋_GB2312"/>
          <w:color w:val="000000" w:themeColor="text1"/>
          <w:sz w:val="32"/>
        </w:rPr>
      </w:pPr>
      <w:r w:rsidRPr="00411FAD">
        <w:rPr>
          <w:rFonts w:ascii="仿宋_GB2312" w:eastAsia="仿宋_GB2312" w:hint="eastAsia"/>
          <w:color w:val="000000" w:themeColor="text1"/>
          <w:sz w:val="32"/>
        </w:rPr>
        <w:t>1.</w:t>
      </w:r>
      <w:r w:rsidRPr="00411FAD">
        <w:rPr>
          <w:rFonts w:ascii="仿宋_GB2312" w:eastAsia="仿宋_GB2312"/>
          <w:color w:val="000000" w:themeColor="text1"/>
          <w:sz w:val="32"/>
        </w:rPr>
        <w:t>本公报中201</w:t>
      </w:r>
      <w:r w:rsidRPr="00411FAD">
        <w:rPr>
          <w:rFonts w:ascii="仿宋_GB2312" w:eastAsia="仿宋_GB2312" w:hint="eastAsia"/>
          <w:color w:val="000000" w:themeColor="text1"/>
          <w:sz w:val="32"/>
        </w:rPr>
        <w:t>5</w:t>
      </w:r>
      <w:r w:rsidRPr="00411FAD">
        <w:rPr>
          <w:rFonts w:ascii="仿宋_GB2312" w:eastAsia="仿宋_GB2312"/>
          <w:color w:val="000000" w:themeColor="text1"/>
          <w:sz w:val="32"/>
        </w:rPr>
        <w:t>年数据为初步统计数，统计图中20</w:t>
      </w:r>
      <w:r w:rsidRPr="00411FAD">
        <w:rPr>
          <w:rFonts w:ascii="仿宋_GB2312" w:eastAsia="仿宋_GB2312" w:hint="eastAsia"/>
          <w:color w:val="000000" w:themeColor="text1"/>
          <w:sz w:val="32"/>
        </w:rPr>
        <w:t>10</w:t>
      </w:r>
      <w:r w:rsidRPr="00411FAD">
        <w:rPr>
          <w:rFonts w:ascii="仿宋_GB2312" w:eastAsia="仿宋_GB2312"/>
          <w:color w:val="000000" w:themeColor="text1"/>
          <w:sz w:val="32"/>
        </w:rPr>
        <w:t>-201</w:t>
      </w:r>
      <w:r w:rsidRPr="00411FAD">
        <w:rPr>
          <w:rFonts w:ascii="仿宋_GB2312" w:eastAsia="仿宋_GB2312" w:hint="eastAsia"/>
          <w:color w:val="000000" w:themeColor="text1"/>
          <w:sz w:val="32"/>
        </w:rPr>
        <w:t>4</w:t>
      </w:r>
      <w:r w:rsidRPr="00411FAD">
        <w:rPr>
          <w:rFonts w:ascii="仿宋_GB2312" w:eastAsia="仿宋_GB2312"/>
          <w:color w:val="000000" w:themeColor="text1"/>
          <w:sz w:val="32"/>
        </w:rPr>
        <w:t>年数据为年报数。</w:t>
      </w:r>
    </w:p>
    <w:p w:rsidR="005B67D7" w:rsidRPr="00411FAD" w:rsidRDefault="005B67D7" w:rsidP="005B67D7">
      <w:pPr>
        <w:ind w:firstLineChars="200" w:firstLine="640"/>
        <w:rPr>
          <w:rFonts w:ascii="仿宋_GB2312" w:eastAsia="仿宋_GB2312"/>
          <w:color w:val="000000" w:themeColor="text1"/>
          <w:sz w:val="32"/>
        </w:rPr>
      </w:pPr>
      <w:r w:rsidRPr="00411FAD">
        <w:rPr>
          <w:rFonts w:ascii="仿宋_GB2312" w:eastAsia="仿宋_GB2312" w:hint="eastAsia"/>
          <w:color w:val="000000" w:themeColor="text1"/>
          <w:sz w:val="32"/>
        </w:rPr>
        <w:t>2.从2011年起，规模以上工业统计口径由500万元调整为2000万元及以上；固定资产投资项目统计起点由计划总投资50万元提高到500万元，增速为可比口径。从2015年起，“地方公共财政预算收入”更名为“地方一般公共预算收入”，各项存款余额中，“单位存款”更名为“非金融企业存款”、“储蓄存款”更名为“住户存款”。</w:t>
      </w:r>
    </w:p>
    <w:p w:rsidR="005B67D7" w:rsidRPr="00411FAD" w:rsidRDefault="005B67D7" w:rsidP="005B67D7">
      <w:pPr>
        <w:ind w:firstLine="645"/>
        <w:rPr>
          <w:rFonts w:ascii="仿宋_GB2312" w:eastAsia="仿宋_GB2312"/>
          <w:color w:val="000000" w:themeColor="text1"/>
          <w:sz w:val="32"/>
          <w:szCs w:val="32"/>
        </w:rPr>
      </w:pPr>
      <w:r w:rsidRPr="00411FAD">
        <w:rPr>
          <w:rFonts w:ascii="仿宋_GB2312" w:eastAsia="仿宋_GB2312" w:hint="eastAsia"/>
          <w:color w:val="000000" w:themeColor="text1"/>
          <w:sz w:val="32"/>
        </w:rPr>
        <w:t>3.</w:t>
      </w:r>
      <w:r w:rsidRPr="00411FAD">
        <w:rPr>
          <w:rFonts w:ascii="仿宋_GB2312" w:eastAsia="仿宋_GB2312" w:hint="eastAsia"/>
          <w:color w:val="000000" w:themeColor="text1"/>
          <w:sz w:val="32"/>
          <w:szCs w:val="32"/>
        </w:rPr>
        <w:t>地区生产总值、各产业增加值绝对数按现价计算，增长速度按可比价格计算。</w:t>
      </w:r>
    </w:p>
    <w:p w:rsidR="005B67D7" w:rsidRPr="00411FAD" w:rsidRDefault="005B67D7" w:rsidP="005B67D7">
      <w:pPr>
        <w:ind w:firstLine="645"/>
        <w:rPr>
          <w:rFonts w:ascii="仿宋_GB2312" w:eastAsia="仿宋_GB2312"/>
          <w:color w:val="000000" w:themeColor="text1"/>
          <w:sz w:val="32"/>
          <w:szCs w:val="32"/>
        </w:rPr>
      </w:pPr>
      <w:r w:rsidRPr="00411FAD">
        <w:rPr>
          <w:rFonts w:ascii="仿宋_GB2312" w:eastAsia="仿宋_GB2312" w:hint="eastAsia"/>
          <w:color w:val="000000" w:themeColor="text1"/>
          <w:sz w:val="32"/>
          <w:szCs w:val="32"/>
        </w:rPr>
        <w:t>4.2014年2季度开始交通运输量统计口径改变为不包括公交车和出租车在城市外道路完成的运输量，</w:t>
      </w:r>
      <w:r w:rsidRPr="00411FAD">
        <w:rPr>
          <w:rFonts w:ascii="仿宋_GB2312" w:eastAsia="仿宋_GB2312" w:hint="eastAsia"/>
          <w:color w:val="000000" w:themeColor="text1"/>
          <w:sz w:val="32"/>
        </w:rPr>
        <w:t>新口径数据和旧口径数据存在不可比的差异。</w:t>
      </w:r>
    </w:p>
    <w:p w:rsidR="005B67D7" w:rsidRPr="00411FAD" w:rsidRDefault="005B67D7" w:rsidP="005B67D7">
      <w:pPr>
        <w:ind w:firstLine="645"/>
        <w:rPr>
          <w:rFonts w:ascii="仿宋_GB2312" w:eastAsia="仿宋_GB2312"/>
          <w:color w:val="000000" w:themeColor="text1"/>
          <w:sz w:val="32"/>
        </w:rPr>
      </w:pPr>
      <w:r w:rsidRPr="00411FAD">
        <w:rPr>
          <w:rFonts w:ascii="仿宋_GB2312" w:eastAsia="仿宋_GB2312" w:hint="eastAsia"/>
          <w:color w:val="000000" w:themeColor="text1"/>
          <w:sz w:val="32"/>
        </w:rPr>
        <w:t>5.2012年四季度，国家统计局实施了城乡一体化住户调查改革。2014年起按照新的调查口径对外发布城乡一体的居民人均可支配收入和分城镇、农村常住居民人均可支配收入数据。由于新老调查方案在调查范围、调查对象、城乡划分标准、样本抽选、计算和汇总方式、指标口径等方面变化</w:t>
      </w:r>
      <w:r w:rsidRPr="00411FAD">
        <w:rPr>
          <w:rFonts w:ascii="仿宋_GB2312" w:eastAsia="仿宋_GB2312" w:hint="eastAsia"/>
          <w:color w:val="000000" w:themeColor="text1"/>
          <w:sz w:val="32"/>
        </w:rPr>
        <w:lastRenderedPageBreak/>
        <w:t>较大，改革后新口径数据和旧口径数据存在不可比的差异。</w:t>
      </w:r>
    </w:p>
    <w:p w:rsidR="001C7406" w:rsidRPr="00411FAD" w:rsidRDefault="005B67D7" w:rsidP="005B67D7">
      <w:pPr>
        <w:rPr>
          <w:color w:val="000000" w:themeColor="text1"/>
        </w:rPr>
      </w:pPr>
      <w:r w:rsidRPr="00411FAD">
        <w:rPr>
          <w:rFonts w:ascii="仿宋_GB2312" w:eastAsia="仿宋_GB2312" w:hint="eastAsia"/>
          <w:color w:val="000000" w:themeColor="text1"/>
          <w:sz w:val="32"/>
          <w:szCs w:val="32"/>
        </w:rPr>
        <w:t>6.本公报中部门统计数据来源单位有：市安监局、市教育局、市科技局、市公安局、市民政局、市财政局、市人社局、市交通运输局、市商务局、市文广新局、市卫生和计划生育局、市环保局、市林业局、市旅游局、市邮政局、人民银行茂名中心支行、广东石油化工学院、茂名职业技术学院、市保险行业协会、中国电信股份有限公司茂名分公司、中国移动通信集团茂名分公司、中国联通茂名分公司等。</w:t>
      </w:r>
    </w:p>
    <w:sectPr w:rsidR="001C7406" w:rsidRPr="00411FAD" w:rsidSect="001C74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49D" w:rsidRDefault="008E549D" w:rsidP="00411FAD">
      <w:r>
        <w:separator/>
      </w:r>
    </w:p>
  </w:endnote>
  <w:endnote w:type="continuationSeparator" w:id="1">
    <w:p w:rsidR="008E549D" w:rsidRDefault="008E549D" w:rsidP="00411F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49D" w:rsidRDefault="008E549D" w:rsidP="00411FAD">
      <w:r>
        <w:separator/>
      </w:r>
    </w:p>
  </w:footnote>
  <w:footnote w:type="continuationSeparator" w:id="1">
    <w:p w:rsidR="008E549D" w:rsidRDefault="008E549D" w:rsidP="00411F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67D7"/>
    <w:rsid w:val="001C7406"/>
    <w:rsid w:val="00411FAD"/>
    <w:rsid w:val="005B67D7"/>
    <w:rsid w:val="008E549D"/>
    <w:rsid w:val="00F572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7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1F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1FAD"/>
    <w:rPr>
      <w:rFonts w:ascii="Times New Roman" w:eastAsia="宋体" w:hAnsi="Times New Roman" w:cs="Times New Roman"/>
      <w:sz w:val="18"/>
      <w:szCs w:val="18"/>
    </w:rPr>
  </w:style>
  <w:style w:type="paragraph" w:styleId="a4">
    <w:name w:val="footer"/>
    <w:basedOn w:val="a"/>
    <w:link w:val="Char0"/>
    <w:uiPriority w:val="99"/>
    <w:semiHidden/>
    <w:unhideWhenUsed/>
    <w:rsid w:val="00411FA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1FA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197</Words>
  <Characters>1124</Characters>
  <Application>Microsoft Office Word</Application>
  <DocSecurity>0</DocSecurity>
  <Lines>9</Lines>
  <Paragraphs>2</Paragraphs>
  <ScaleCrop>false</ScaleCrop>
  <Company>P R C</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2017-02-04T02:34:00Z</dcterms:created>
  <dcterms:modified xsi:type="dcterms:W3CDTF">2017-07-27T01:37:00Z</dcterms:modified>
</cp:coreProperties>
</file>