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907"/>
        <w:gridCol w:w="1953"/>
        <w:gridCol w:w="1646"/>
        <w:gridCol w:w="1826"/>
      </w:tblGrid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硫酸（折</w:t>
            </w:r>
            <w:r w:rsidRPr="00D82944">
              <w:rPr>
                <w:rFonts w:ascii="宋体" w:hAnsi="宋体"/>
                <w:color w:val="000000" w:themeColor="text1"/>
                <w:sz w:val="24"/>
              </w:rPr>
              <w:t>100%）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2.98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-60.1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农用化肥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33.61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53.4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乙烯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105.39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-7.7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纯苯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23.76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-9.8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初级形态塑料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166.58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-5.4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合成橡胶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28.24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-22.9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塑料制品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10.13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24.9</w:t>
            </w:r>
          </w:p>
        </w:tc>
      </w:tr>
      <w:tr w:rsidR="00A9756C" w:rsidRPr="00D82944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水泥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D82944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301.32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9756C" w:rsidRPr="00D82944" w:rsidRDefault="00A9756C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D82944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-5.5</w:t>
            </w:r>
          </w:p>
        </w:tc>
      </w:tr>
    </w:tbl>
    <w:p w:rsidR="00A9756C" w:rsidRPr="00D82944" w:rsidRDefault="00A9756C" w:rsidP="00A9756C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</w:p>
    <w:p w:rsidR="00A9756C" w:rsidRPr="00D82944" w:rsidRDefault="00A9756C" w:rsidP="00A9756C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D82944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全年资质等级以上建筑企业完成施工产值475.92亿元，增长16.5%；竣工产值296.20亿元，增长22.8%。</w:t>
      </w:r>
      <w:r w:rsidRPr="00D82944">
        <w:rPr>
          <w:rFonts w:ascii="仿宋_GB2312" w:eastAsia="仿宋_GB2312" w:hint="eastAsia"/>
          <w:color w:val="000000" w:themeColor="text1"/>
          <w:sz w:val="32"/>
        </w:rPr>
        <w:t xml:space="preserve"> </w:t>
      </w:r>
    </w:p>
    <w:p w:rsidR="00A9756C" w:rsidRPr="00D82944" w:rsidRDefault="00A9756C" w:rsidP="00A9756C">
      <w:pPr>
        <w:jc w:val="center"/>
        <w:rPr>
          <w:rFonts w:ascii="黑体" w:eastAsia="黑体"/>
          <w:b/>
          <w:color w:val="000000" w:themeColor="text1"/>
          <w:sz w:val="32"/>
        </w:rPr>
      </w:pPr>
    </w:p>
    <w:p w:rsidR="00A9756C" w:rsidRPr="00D82944" w:rsidRDefault="00A9756C" w:rsidP="00A9756C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D82944">
        <w:rPr>
          <w:rFonts w:ascii="黑体" w:eastAsia="黑体" w:hint="eastAsia"/>
          <w:color w:val="000000" w:themeColor="text1"/>
          <w:sz w:val="36"/>
          <w:szCs w:val="36"/>
        </w:rPr>
        <w:t>四、固定资产投资</w:t>
      </w:r>
    </w:p>
    <w:p w:rsidR="00A9756C" w:rsidRPr="00D82944" w:rsidRDefault="00A9756C" w:rsidP="00A9756C">
      <w:pPr>
        <w:ind w:firstLineChars="200" w:firstLine="640"/>
        <w:rPr>
          <w:rFonts w:ascii="仿宋_GB2312" w:eastAsia="仿宋_GB2312"/>
          <w:b/>
          <w:color w:val="000000" w:themeColor="text1"/>
          <w:sz w:val="32"/>
        </w:rPr>
      </w:pPr>
    </w:p>
    <w:p w:rsidR="00A9756C" w:rsidRPr="00D82944" w:rsidRDefault="00A9756C" w:rsidP="00A9756C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D82944">
        <w:rPr>
          <w:rFonts w:ascii="仿宋_GB2312" w:eastAsia="仿宋_GB2312" w:hint="eastAsia"/>
          <w:color w:val="000000" w:themeColor="text1"/>
          <w:sz w:val="32"/>
        </w:rPr>
        <w:t>全年固定资产投资1115.50亿元，增长28.0%。分产业看，第一产业投资31.22亿元，下降5.0%；第二产业投资653.86亿元，增长40.6%；第三产业投资430.42 亿元，增长15.2%，其中房地产开发投资102.67亿元，增长8.0%。全年商品房施工面积2311.39万平方米，增长5.8%；竣工面积497.8万平方米，增长10.4%；销售面积270.43万平方米，增长4.7%。</w:t>
      </w:r>
    </w:p>
    <w:p w:rsidR="00A9756C" w:rsidRPr="00D82944" w:rsidRDefault="00A9756C" w:rsidP="00A9756C">
      <w:pPr>
        <w:rPr>
          <w:rFonts w:ascii="仿宋_GB2312" w:eastAsia="仿宋_GB2312"/>
          <w:color w:val="000000" w:themeColor="text1"/>
          <w:sz w:val="32"/>
        </w:rPr>
      </w:pPr>
      <w:r w:rsidRPr="00D82944">
        <w:rPr>
          <w:noProof/>
          <w:color w:val="000000" w:themeColor="text1"/>
        </w:rPr>
        <w:lastRenderedPageBreak/>
        <w:drawing>
          <wp:inline distT="0" distB="0" distL="0" distR="0">
            <wp:extent cx="5267325" cy="2600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56C" w:rsidRPr="00D82944" w:rsidRDefault="00A9756C" w:rsidP="00A9756C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A9756C" w:rsidRPr="00D82944" w:rsidRDefault="00A9756C" w:rsidP="00A9756C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D82944">
        <w:rPr>
          <w:rFonts w:ascii="黑体" w:eastAsia="黑体" w:hint="eastAsia"/>
          <w:color w:val="000000" w:themeColor="text1"/>
          <w:sz w:val="36"/>
          <w:szCs w:val="36"/>
        </w:rPr>
        <w:t>五、国内贸易</w:t>
      </w:r>
    </w:p>
    <w:p w:rsidR="00A9756C" w:rsidRPr="00D82944" w:rsidRDefault="00A9756C" w:rsidP="00A9756C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1C7406" w:rsidRPr="00D82944" w:rsidRDefault="00A9756C" w:rsidP="00A9756C">
      <w:pPr>
        <w:rPr>
          <w:color w:val="000000" w:themeColor="text1"/>
        </w:rPr>
      </w:pPr>
      <w:r w:rsidRPr="00D82944">
        <w:rPr>
          <w:rFonts w:ascii="仿宋_GB2312" w:eastAsia="仿宋_GB2312" w:hint="eastAsia"/>
          <w:color w:val="000000" w:themeColor="text1"/>
          <w:sz w:val="32"/>
        </w:rPr>
        <w:t>全年社会消费品零售总额1214.38亿元，增长11.0%。分地域看，城镇消费品零售额828.22亿元，增长8.2%；乡村消费品零售额386.16亿元，增长17.7%。分行业看，批</w:t>
      </w:r>
    </w:p>
    <w:sectPr w:rsidR="001C7406" w:rsidRPr="00D82944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22B" w:rsidRDefault="00E5422B" w:rsidP="00D82944">
      <w:r>
        <w:separator/>
      </w:r>
    </w:p>
  </w:endnote>
  <w:endnote w:type="continuationSeparator" w:id="1">
    <w:p w:rsidR="00E5422B" w:rsidRDefault="00E5422B" w:rsidP="00D8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22B" w:rsidRDefault="00E5422B" w:rsidP="00D82944">
      <w:r>
        <w:separator/>
      </w:r>
    </w:p>
  </w:footnote>
  <w:footnote w:type="continuationSeparator" w:id="1">
    <w:p w:rsidR="00E5422B" w:rsidRDefault="00E5422B" w:rsidP="00D82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756C"/>
    <w:rsid w:val="001C7406"/>
    <w:rsid w:val="00A9756C"/>
    <w:rsid w:val="00D82944"/>
    <w:rsid w:val="00E15AFA"/>
    <w:rsid w:val="00E5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5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75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756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82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294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82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829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454</Characters>
  <Application>Microsoft Office Word</Application>
  <DocSecurity>0</DocSecurity>
  <Lines>3</Lines>
  <Paragraphs>1</Paragraphs>
  <ScaleCrop>false</ScaleCrop>
  <Company>P R C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2017-02-04T02:24:00Z</dcterms:created>
  <dcterms:modified xsi:type="dcterms:W3CDTF">2017-07-27T01:38:00Z</dcterms:modified>
</cp:coreProperties>
</file>