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19D6" w:rsidRPr="00895A51" w:rsidRDefault="001E19D6" w:rsidP="0020274B">
      <w:pPr>
        <w:spacing w:line="480" w:lineRule="exact"/>
        <w:jc w:val="center"/>
        <w:rPr>
          <w:rFonts w:ascii="黑体" w:eastAsia="黑体"/>
          <w:color w:val="000000"/>
          <w:sz w:val="44"/>
          <w:szCs w:val="44"/>
        </w:rPr>
      </w:pPr>
      <w:r w:rsidRPr="00895A51">
        <w:rPr>
          <w:rFonts w:ascii="黑体" w:eastAsia="黑体" w:cs="黑体" w:hint="eastAsia"/>
          <w:color w:val="000000"/>
          <w:sz w:val="44"/>
          <w:szCs w:val="44"/>
        </w:rPr>
        <w:t>主要统计指标解释</w:t>
      </w:r>
    </w:p>
    <w:p w:rsidR="001E19D6" w:rsidRPr="009D4833" w:rsidRDefault="001E19D6" w:rsidP="0020274B">
      <w:pPr>
        <w:spacing w:line="480" w:lineRule="exact"/>
        <w:rPr>
          <w:color w:val="000000"/>
          <w:sz w:val="26"/>
          <w:szCs w:val="26"/>
        </w:rPr>
      </w:pPr>
      <w:bookmarkStart w:id="0" w:name="_GoBack"/>
      <w:bookmarkEnd w:id="0"/>
    </w:p>
    <w:p w:rsidR="001E19D6" w:rsidRPr="00895A51" w:rsidRDefault="001E19D6" w:rsidP="0020274B">
      <w:pPr>
        <w:spacing w:line="300" w:lineRule="exact"/>
        <w:ind w:firstLineChars="245" w:firstLine="639"/>
        <w:rPr>
          <w:color w:val="000000"/>
          <w:sz w:val="26"/>
          <w:szCs w:val="26"/>
        </w:rPr>
      </w:pPr>
      <w:r w:rsidRPr="00895A51">
        <w:rPr>
          <w:rFonts w:cs="宋体" w:hint="eastAsia"/>
          <w:b/>
          <w:bCs/>
          <w:color w:val="000000"/>
          <w:sz w:val="26"/>
          <w:szCs w:val="26"/>
        </w:rPr>
        <w:t>固定资产投资额</w:t>
      </w:r>
      <w:r w:rsidRPr="00895A51">
        <w:rPr>
          <w:rFonts w:cs="宋体" w:hint="eastAsia"/>
          <w:color w:val="000000"/>
          <w:sz w:val="26"/>
          <w:szCs w:val="26"/>
        </w:rPr>
        <w:t>是以货币形式表现的在一定时期内建造和购置固定资产的工作量以及与此有关的费用的总称。</w:t>
      </w:r>
    </w:p>
    <w:p w:rsidR="001E19D6" w:rsidRPr="00895A51" w:rsidRDefault="001E19D6" w:rsidP="0020274B">
      <w:pPr>
        <w:spacing w:line="300" w:lineRule="exact"/>
        <w:rPr>
          <w:color w:val="000000"/>
          <w:sz w:val="26"/>
          <w:szCs w:val="26"/>
        </w:rPr>
      </w:pPr>
      <w:r w:rsidRPr="00895A51">
        <w:rPr>
          <w:color w:val="000000"/>
          <w:sz w:val="26"/>
          <w:szCs w:val="26"/>
        </w:rPr>
        <w:t xml:space="preserve">    1</w:t>
      </w:r>
      <w:r w:rsidRPr="00895A51">
        <w:rPr>
          <w:rFonts w:cs="宋体" w:hint="eastAsia"/>
          <w:color w:val="000000"/>
          <w:sz w:val="26"/>
          <w:szCs w:val="26"/>
        </w:rPr>
        <w:t>．城镇和农村建设项目投资月报统计范围为：城镇和农村各种登记注册类型的企业、事业，行政单位及个体户进行的计划总投资</w:t>
      </w:r>
      <w:r w:rsidRPr="00895A51">
        <w:rPr>
          <w:color w:val="000000"/>
          <w:sz w:val="26"/>
          <w:szCs w:val="26"/>
        </w:rPr>
        <w:t>500</w:t>
      </w:r>
      <w:r w:rsidRPr="00895A51">
        <w:rPr>
          <w:rFonts w:cs="宋体" w:hint="eastAsia"/>
          <w:color w:val="000000"/>
          <w:sz w:val="26"/>
          <w:szCs w:val="26"/>
        </w:rPr>
        <w:t>元及</w:t>
      </w:r>
      <w:r w:rsidRPr="00895A51">
        <w:rPr>
          <w:color w:val="000000"/>
          <w:sz w:val="26"/>
          <w:szCs w:val="26"/>
        </w:rPr>
        <w:t>500</w:t>
      </w:r>
      <w:r w:rsidRPr="00895A51">
        <w:rPr>
          <w:rFonts w:cs="宋体" w:hint="eastAsia"/>
          <w:color w:val="000000"/>
          <w:sz w:val="26"/>
          <w:szCs w:val="26"/>
        </w:rPr>
        <w:t>元以上的建设项目，包括城镇各种经济类型的建设项目和工矿区私人建房项目，以及农村非农户投资项目和购置生产性设备投资。年报统计范围中的城镇和工矿区私人建房为市、县城、镇、工矿区所辖范围内的全部私人建房（不论其房主是否系本地的常住户口均应包括），保持与月报统计范围一致。农业农户投资不列入统计范围。</w:t>
      </w:r>
    </w:p>
    <w:p w:rsidR="001E19D6" w:rsidRPr="00895A51" w:rsidRDefault="001E19D6" w:rsidP="0020274B">
      <w:pPr>
        <w:spacing w:line="300" w:lineRule="exact"/>
        <w:ind w:firstLineChars="200" w:firstLine="520"/>
        <w:rPr>
          <w:color w:val="000000"/>
          <w:sz w:val="26"/>
          <w:szCs w:val="26"/>
        </w:rPr>
      </w:pPr>
      <w:r w:rsidRPr="00895A51">
        <w:rPr>
          <w:color w:val="000000"/>
          <w:sz w:val="26"/>
          <w:szCs w:val="26"/>
        </w:rPr>
        <w:t>2</w:t>
      </w:r>
      <w:r w:rsidRPr="00895A51">
        <w:rPr>
          <w:rFonts w:cs="宋体" w:hint="eastAsia"/>
          <w:color w:val="000000"/>
          <w:sz w:val="26"/>
          <w:szCs w:val="26"/>
        </w:rPr>
        <w:t>．城镇建设项目投资在城乡分组中分“城镇”，农村非农户建设项目投资在城乡分组中“农村”，汇总表中“农村”不含“农户”。</w:t>
      </w:r>
    </w:p>
    <w:p w:rsidR="001E19D6" w:rsidRPr="00895A51" w:rsidRDefault="001E19D6" w:rsidP="00F346CF">
      <w:pPr>
        <w:spacing w:line="300" w:lineRule="exact"/>
        <w:ind w:firstLineChars="196" w:firstLine="512"/>
        <w:rPr>
          <w:color w:val="000000"/>
          <w:sz w:val="26"/>
          <w:szCs w:val="26"/>
        </w:rPr>
      </w:pPr>
      <w:r w:rsidRPr="00895A51">
        <w:rPr>
          <w:rFonts w:cs="宋体" w:hint="eastAsia"/>
          <w:b/>
          <w:bCs/>
          <w:color w:val="000000"/>
          <w:sz w:val="26"/>
          <w:szCs w:val="26"/>
        </w:rPr>
        <w:t>房地产开发投资</w:t>
      </w:r>
      <w:r w:rsidRPr="00895A51">
        <w:rPr>
          <w:rFonts w:cs="宋体" w:hint="eastAsia"/>
          <w:color w:val="000000"/>
          <w:sz w:val="26"/>
          <w:szCs w:val="26"/>
        </w:rPr>
        <w:t>各种登记注册类型的房地产开发公司，商品房建设公司及其他房地产开发单位统一开发的包括统代建。拆迁还建的住宅，厂房、仓库、饭店、宾馆、度假村、写字楼、办公楼等房屋建筑物和配套的服务设施、土地开发工程、如道路、给水、排水、供电、供热、通讯、平整场地等基础设施工程的投资。包括实际从事房地产开发或经营活动的附营房地产开发单位。不包括单纯的土地交易活动。</w:t>
      </w:r>
    </w:p>
    <w:p w:rsidR="001E19D6" w:rsidRPr="00895A51" w:rsidRDefault="001E19D6" w:rsidP="00F346CF">
      <w:pPr>
        <w:spacing w:line="300" w:lineRule="exact"/>
        <w:ind w:firstLineChars="196" w:firstLine="512"/>
        <w:rPr>
          <w:color w:val="000000"/>
          <w:sz w:val="26"/>
          <w:szCs w:val="26"/>
        </w:rPr>
      </w:pPr>
      <w:r w:rsidRPr="00895A51">
        <w:rPr>
          <w:rFonts w:cs="宋体" w:hint="eastAsia"/>
          <w:b/>
          <w:bCs/>
          <w:color w:val="000000"/>
          <w:sz w:val="26"/>
          <w:szCs w:val="26"/>
        </w:rPr>
        <w:t>固定资产投资的资金来源</w:t>
      </w:r>
      <w:r w:rsidRPr="00895A51">
        <w:rPr>
          <w:rFonts w:cs="宋体" w:hint="eastAsia"/>
          <w:color w:val="000000"/>
          <w:sz w:val="26"/>
          <w:szCs w:val="26"/>
        </w:rPr>
        <w:t>根据固定资产投资的资金来源不同，分为国家预算资金、国内贷款、债券、利用外资，自筹资金和其他资金来源。</w:t>
      </w:r>
    </w:p>
    <w:p w:rsidR="001E19D6" w:rsidRPr="00895A51" w:rsidRDefault="001E19D6" w:rsidP="00F346CF">
      <w:pPr>
        <w:spacing w:line="300" w:lineRule="exact"/>
        <w:ind w:firstLineChars="196" w:firstLine="512"/>
        <w:rPr>
          <w:color w:val="000000"/>
          <w:sz w:val="26"/>
          <w:szCs w:val="26"/>
        </w:rPr>
      </w:pPr>
      <w:r w:rsidRPr="00895A51">
        <w:rPr>
          <w:rFonts w:cs="宋体" w:hint="eastAsia"/>
          <w:b/>
          <w:bCs/>
          <w:color w:val="000000"/>
          <w:sz w:val="26"/>
          <w:szCs w:val="26"/>
        </w:rPr>
        <w:t>新增生产能力（或工程效益）</w:t>
      </w:r>
      <w:r w:rsidRPr="00895A51">
        <w:rPr>
          <w:rFonts w:cs="宋体" w:hint="eastAsia"/>
          <w:color w:val="000000"/>
          <w:sz w:val="26"/>
          <w:szCs w:val="26"/>
        </w:rPr>
        <w:t>指通过固定资产投资活动而增加的设计能力（或工程效益），是以实物形态表示的固定资产投资成果的指标，也是考核投资经济效果的重要依据之一。</w:t>
      </w:r>
    </w:p>
    <w:p w:rsidR="001E19D6" w:rsidRPr="00895A51" w:rsidRDefault="001E19D6" w:rsidP="00F346CF">
      <w:pPr>
        <w:spacing w:line="300" w:lineRule="exact"/>
        <w:ind w:firstLineChars="196" w:firstLine="512"/>
        <w:rPr>
          <w:color w:val="000000"/>
          <w:sz w:val="26"/>
          <w:szCs w:val="26"/>
        </w:rPr>
      </w:pPr>
      <w:r w:rsidRPr="00895A51">
        <w:rPr>
          <w:rFonts w:cs="宋体" w:hint="eastAsia"/>
          <w:b/>
          <w:bCs/>
          <w:color w:val="000000"/>
          <w:sz w:val="26"/>
          <w:szCs w:val="26"/>
        </w:rPr>
        <w:t>房屋建筑面积</w:t>
      </w:r>
      <w:r w:rsidRPr="00895A51">
        <w:rPr>
          <w:rFonts w:cs="宋体" w:hint="eastAsia"/>
          <w:color w:val="000000"/>
          <w:sz w:val="26"/>
          <w:szCs w:val="26"/>
        </w:rPr>
        <w:t>是房屋建筑物勒脚以上外墙外围的水平截面面积，包括房屋建筑物的有效面积和结构面积。房屋建筑面积统计指标是建设规模和建设成果的重要指标之一，也是检查工程形象进度、计算工程造价、分析投资效果、研究施工任务和建筑材料之间平衡情况的重要依据。</w:t>
      </w:r>
    </w:p>
    <w:p w:rsidR="001E19D6" w:rsidRPr="00895A51" w:rsidRDefault="001E19D6" w:rsidP="00F346CF">
      <w:pPr>
        <w:spacing w:line="300" w:lineRule="exact"/>
        <w:ind w:firstLineChars="196" w:firstLine="512"/>
        <w:rPr>
          <w:color w:val="000000"/>
          <w:sz w:val="26"/>
          <w:szCs w:val="26"/>
        </w:rPr>
      </w:pPr>
      <w:r w:rsidRPr="00895A51">
        <w:rPr>
          <w:rFonts w:cs="宋体" w:hint="eastAsia"/>
          <w:b/>
          <w:bCs/>
          <w:color w:val="000000"/>
          <w:sz w:val="26"/>
          <w:szCs w:val="26"/>
        </w:rPr>
        <w:t>住宅</w:t>
      </w:r>
      <w:r w:rsidRPr="00895A51">
        <w:rPr>
          <w:rFonts w:cs="宋体" w:hint="eastAsia"/>
          <w:color w:val="000000"/>
          <w:sz w:val="26"/>
          <w:szCs w:val="26"/>
        </w:rPr>
        <w:t>指供人们居住的房屋，包括职工家属宿舍、集体宿舍（包括职工单身宿舍和学生宿舍）及供居住的各种公寓等。住宅建筑面积中不包括作为人防用、不住人的地下室面积和供办公用的公寓。</w:t>
      </w:r>
    </w:p>
    <w:p w:rsidR="001E19D6" w:rsidRPr="00895A51" w:rsidRDefault="001E19D6" w:rsidP="0020274B">
      <w:pPr>
        <w:spacing w:line="300" w:lineRule="exact"/>
        <w:ind w:firstLineChars="196" w:firstLine="512"/>
        <w:rPr>
          <w:color w:val="000000"/>
          <w:sz w:val="26"/>
          <w:szCs w:val="26"/>
        </w:rPr>
      </w:pPr>
      <w:r w:rsidRPr="00895A51">
        <w:rPr>
          <w:rFonts w:cs="宋体" w:hint="eastAsia"/>
          <w:b/>
          <w:bCs/>
          <w:color w:val="000000"/>
          <w:sz w:val="26"/>
          <w:szCs w:val="26"/>
        </w:rPr>
        <w:t>房屋施工面积</w:t>
      </w:r>
      <w:r w:rsidRPr="00895A51">
        <w:rPr>
          <w:rFonts w:cs="宋体" w:hint="eastAsia"/>
          <w:color w:val="000000"/>
          <w:sz w:val="26"/>
          <w:szCs w:val="26"/>
        </w:rPr>
        <w:t>指在报告期内施工的全部房屋建筑面积。包括本期新开工的面积和上期开工跨入本期继续施工的面积，以及上期已停建在本期恢复施工的房屋面积。本期竣工和本期施工后又停缓建的房屋，其；建筑面积仍计入本期房屋施工面积中。</w:t>
      </w:r>
    </w:p>
    <w:p w:rsidR="001E19D6" w:rsidRPr="00895A51" w:rsidRDefault="001E19D6" w:rsidP="0020274B">
      <w:pPr>
        <w:spacing w:line="300" w:lineRule="exact"/>
        <w:ind w:firstLineChars="196" w:firstLine="512"/>
        <w:rPr>
          <w:color w:val="000000"/>
        </w:rPr>
      </w:pPr>
      <w:r w:rsidRPr="00895A51">
        <w:rPr>
          <w:rFonts w:cs="宋体" w:hint="eastAsia"/>
          <w:b/>
          <w:bCs/>
          <w:color w:val="000000"/>
          <w:sz w:val="26"/>
          <w:szCs w:val="26"/>
        </w:rPr>
        <w:t>房屋竣工面积</w:t>
      </w:r>
      <w:r w:rsidRPr="00895A51">
        <w:rPr>
          <w:rFonts w:cs="宋体" w:hint="eastAsia"/>
          <w:color w:val="000000"/>
          <w:sz w:val="26"/>
          <w:szCs w:val="26"/>
        </w:rPr>
        <w:t>指在报告期内房屋建筑按照设计要求已经全部完工，达到住人和使用条件，经验收鉴定合格（或达到竣工验收标准），正式移交使用的各栋房屋建筑面积的总和。</w:t>
      </w:r>
    </w:p>
    <w:sectPr w:rsidR="001E19D6" w:rsidRPr="00895A51" w:rsidSect="0020274B">
      <w:pgSz w:w="11906" w:h="16838" w:code="9"/>
      <w:pgMar w:top="2268" w:right="1814" w:bottom="2268" w:left="1814" w:header="851" w:footer="1985"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6CD6" w:rsidRDefault="00F66CD6" w:rsidP="00895A51">
      <w:r>
        <w:separator/>
      </w:r>
    </w:p>
  </w:endnote>
  <w:endnote w:type="continuationSeparator" w:id="1">
    <w:p w:rsidR="00F66CD6" w:rsidRDefault="00F66CD6" w:rsidP="00895A5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6CD6" w:rsidRDefault="00F66CD6" w:rsidP="00895A51">
      <w:r>
        <w:separator/>
      </w:r>
    </w:p>
  </w:footnote>
  <w:footnote w:type="continuationSeparator" w:id="1">
    <w:p w:rsidR="00F66CD6" w:rsidRDefault="00F66CD6" w:rsidP="00895A5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0274B"/>
    <w:rsid w:val="001E19D6"/>
    <w:rsid w:val="0020274B"/>
    <w:rsid w:val="002D0071"/>
    <w:rsid w:val="00895A51"/>
    <w:rsid w:val="009D4833"/>
    <w:rsid w:val="00A4226C"/>
    <w:rsid w:val="00B908B3"/>
    <w:rsid w:val="00C70099"/>
    <w:rsid w:val="00CA06C4"/>
    <w:rsid w:val="00F10E6D"/>
    <w:rsid w:val="00F346CF"/>
    <w:rsid w:val="00F66CD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274B"/>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895A5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895A51"/>
    <w:rPr>
      <w:rFonts w:ascii="Times New Roman" w:eastAsia="宋体" w:hAnsi="Times New Roman" w:cs="Times New Roman"/>
      <w:sz w:val="18"/>
      <w:szCs w:val="18"/>
    </w:rPr>
  </w:style>
  <w:style w:type="paragraph" w:styleId="a4">
    <w:name w:val="footer"/>
    <w:basedOn w:val="a"/>
    <w:link w:val="Char0"/>
    <w:uiPriority w:val="99"/>
    <w:semiHidden/>
    <w:rsid w:val="00895A51"/>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895A51"/>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157</Words>
  <Characters>896</Characters>
  <Application>Microsoft Office Word</Application>
  <DocSecurity>0</DocSecurity>
  <Lines>7</Lines>
  <Paragraphs>2</Paragraphs>
  <ScaleCrop>false</ScaleCrop>
  <Company>P R C</Company>
  <LinksUpToDate>false</LinksUpToDate>
  <CharactersWithSpaces>1051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主要统计指标解释</dc:title>
  <dc:subject/>
  <dc:creator>China</dc:creator>
  <cp:keywords/>
  <dc:description/>
  <cp:lastModifiedBy>China</cp:lastModifiedBy>
  <cp:revision>4</cp:revision>
  <dcterms:created xsi:type="dcterms:W3CDTF">2017-07-31T07:22:00Z</dcterms:created>
  <dcterms:modified xsi:type="dcterms:W3CDTF">2017-08-03T07:59:00Z</dcterms:modified>
</cp:coreProperties>
</file>