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1C8" w:rsidRPr="00987D22" w:rsidRDefault="004A71C8" w:rsidP="004A71C8">
      <w:pPr>
        <w:spacing w:line="340" w:lineRule="exact"/>
        <w:ind w:firstLineChars="196" w:firstLine="412"/>
        <w:rPr>
          <w:rFonts w:ascii="方正书宋简体" w:eastAsia="方正书宋简体" w:hAnsi="Arial" w:cs="Arial"/>
          <w:b/>
          <w:color w:val="000000" w:themeColor="text1"/>
          <w:szCs w:val="21"/>
        </w:rPr>
      </w:pPr>
      <w:r w:rsidRPr="00987D22">
        <w:rPr>
          <w:rFonts w:ascii="方正书宋简体" w:eastAsia="方正书宋简体" w:hint="eastAsia"/>
          <w:color w:val="000000" w:themeColor="text1"/>
          <w:szCs w:val="21"/>
        </w:rPr>
        <w:t>和非流动资产。其中流动资产可分为货币资金、交易性金融资产、应收票据、应收账款、预付款项、其他应收款、存货等；非流动资产可分为长期股权投资、固定资产、无形资产及其他非流动资产等。</w:t>
      </w:r>
    </w:p>
    <w:p w:rsidR="004A71C8" w:rsidRPr="00987D22" w:rsidRDefault="004A71C8" w:rsidP="004A71C8">
      <w:pPr>
        <w:spacing w:line="340" w:lineRule="exact"/>
        <w:ind w:firstLineChars="196" w:firstLine="412"/>
        <w:rPr>
          <w:rFonts w:ascii="方正书宋简体" w:eastAsia="方正书宋简体"/>
          <w:color w:val="000000" w:themeColor="text1"/>
          <w:szCs w:val="21"/>
        </w:rPr>
      </w:pPr>
      <w:r w:rsidRPr="00987D22">
        <w:rPr>
          <w:rFonts w:ascii="方正书宋简体" w:eastAsia="方正书宋简体" w:hint="eastAsia"/>
          <w:b/>
          <w:color w:val="000000" w:themeColor="text1"/>
          <w:szCs w:val="21"/>
        </w:rPr>
        <w:t>固定资产折旧</w:t>
      </w:r>
      <w:r w:rsidRPr="00987D22">
        <w:rPr>
          <w:rFonts w:ascii="方正书宋简体" w:eastAsia="方正书宋简体" w:hint="eastAsia"/>
          <w:color w:val="000000" w:themeColor="text1"/>
          <w:szCs w:val="21"/>
        </w:rPr>
        <w:t xml:space="preserve">  指企业在固定资产的使用寿命内，按照确定的方法对应计折旧额进行系统分摊。 </w:t>
      </w:r>
    </w:p>
    <w:p w:rsidR="004A71C8" w:rsidRPr="00987D22" w:rsidRDefault="004A71C8" w:rsidP="004A71C8">
      <w:pPr>
        <w:spacing w:line="340" w:lineRule="exact"/>
        <w:ind w:firstLineChars="200" w:firstLine="420"/>
        <w:rPr>
          <w:rFonts w:ascii="方正书宋简体" w:eastAsia="方正书宋简体"/>
          <w:color w:val="000000" w:themeColor="text1"/>
          <w:szCs w:val="21"/>
        </w:rPr>
      </w:pPr>
      <w:r w:rsidRPr="00987D22">
        <w:rPr>
          <w:rFonts w:ascii="方正书宋简体" w:eastAsia="方正书宋简体" w:hint="eastAsia"/>
          <w:b/>
          <w:color w:val="000000" w:themeColor="text1"/>
          <w:szCs w:val="21"/>
        </w:rPr>
        <w:t xml:space="preserve">主营业务收入 </w:t>
      </w:r>
      <w:r w:rsidRPr="00987D22">
        <w:rPr>
          <w:rFonts w:ascii="方正书宋简体" w:eastAsia="方正书宋简体" w:hint="eastAsia"/>
          <w:color w:val="000000" w:themeColor="text1"/>
          <w:szCs w:val="21"/>
        </w:rPr>
        <w:t xml:space="preserve"> 指企业确认的销售商品、提供劳务等主营业务的收入。</w:t>
      </w:r>
    </w:p>
    <w:p w:rsidR="004A71C8" w:rsidRPr="00987D22" w:rsidRDefault="004A71C8" w:rsidP="004A71C8">
      <w:pPr>
        <w:spacing w:line="340" w:lineRule="exact"/>
        <w:ind w:firstLineChars="200" w:firstLine="420"/>
        <w:rPr>
          <w:rFonts w:ascii="方正书宋简体" w:eastAsia="方正书宋简体"/>
          <w:color w:val="000000" w:themeColor="text1"/>
          <w:szCs w:val="21"/>
        </w:rPr>
      </w:pPr>
      <w:r w:rsidRPr="00987D22">
        <w:rPr>
          <w:rFonts w:ascii="方正书宋简体" w:eastAsia="方正书宋简体" w:hint="eastAsia"/>
          <w:b/>
          <w:color w:val="000000" w:themeColor="text1"/>
          <w:szCs w:val="21"/>
        </w:rPr>
        <w:t xml:space="preserve">主营业务成本 </w:t>
      </w:r>
      <w:r w:rsidRPr="00987D22">
        <w:rPr>
          <w:rFonts w:ascii="方正书宋简体" w:eastAsia="方正书宋简体" w:hint="eastAsia"/>
          <w:color w:val="000000" w:themeColor="text1"/>
          <w:szCs w:val="21"/>
        </w:rPr>
        <w:t xml:space="preserve"> 指企业经营主要业务所发生的成本总额。</w:t>
      </w:r>
    </w:p>
    <w:p w:rsidR="004A71C8" w:rsidRPr="00987D22" w:rsidRDefault="004A71C8" w:rsidP="004A71C8">
      <w:pPr>
        <w:spacing w:line="340" w:lineRule="exact"/>
        <w:ind w:firstLineChars="200" w:firstLine="420"/>
        <w:rPr>
          <w:rFonts w:ascii="方正书宋简体" w:eastAsia="方正书宋简体" w:hAnsi="Arial" w:cs="Arial"/>
          <w:b/>
          <w:color w:val="000000" w:themeColor="text1"/>
          <w:szCs w:val="21"/>
        </w:rPr>
      </w:pPr>
      <w:r w:rsidRPr="00987D22">
        <w:rPr>
          <w:rFonts w:ascii="方正书宋简体" w:eastAsia="方正书宋简体" w:hint="eastAsia"/>
          <w:b/>
          <w:color w:val="000000" w:themeColor="text1"/>
          <w:szCs w:val="21"/>
        </w:rPr>
        <w:t>营业税金及附加</w:t>
      </w:r>
      <w:r w:rsidRPr="00987D22">
        <w:rPr>
          <w:rFonts w:ascii="方正书宋简体" w:eastAsia="方正书宋简体" w:hint="eastAsia"/>
          <w:color w:val="000000" w:themeColor="text1"/>
          <w:szCs w:val="21"/>
        </w:rPr>
        <w:t xml:space="preserve">  指企业因从事生产经营活动按税法规定缴纳的应从经营收入中抵扣的税金和附加，包括营业税、消费税、城市维护建设税、教育费附加等。</w:t>
      </w:r>
    </w:p>
    <w:p w:rsidR="004A71C8" w:rsidRPr="00987D22" w:rsidRDefault="004A71C8" w:rsidP="004A71C8">
      <w:pPr>
        <w:spacing w:line="340" w:lineRule="exact"/>
        <w:ind w:firstLineChars="200" w:firstLine="420"/>
        <w:rPr>
          <w:rFonts w:ascii="方正书宋简体" w:eastAsia="方正书宋简体"/>
          <w:color w:val="000000" w:themeColor="text1"/>
          <w:szCs w:val="21"/>
        </w:rPr>
      </w:pPr>
      <w:r w:rsidRPr="00987D22">
        <w:rPr>
          <w:rFonts w:ascii="方正书宋简体" w:eastAsia="方正书宋简体" w:hint="eastAsia"/>
          <w:b/>
          <w:color w:val="000000" w:themeColor="text1"/>
          <w:szCs w:val="21"/>
        </w:rPr>
        <w:t>营业利润</w:t>
      </w:r>
      <w:r w:rsidRPr="00987D22">
        <w:rPr>
          <w:rFonts w:ascii="方正书宋简体" w:eastAsia="方正书宋简体" w:hint="eastAsia"/>
          <w:color w:val="000000" w:themeColor="text1"/>
          <w:szCs w:val="21"/>
        </w:rPr>
        <w:t xml:space="preserve">  指企业从事生产经营活动所取得的利润。执行2006年《企业会计准则》的企业，营业利润为营业收入减去营业成本、营业税金及附加、销售费用、管理费用、财务费用、资产减值损失，再加上公允价值变动收益和投资收益。未执行2006年《企业会计准则》的企业，营业利润为主营业务收入减去主营业务成本、主营业务税金及附加，加上其他业务利润后，再减去销售费用、管理费用、财务费用后的金额。</w:t>
      </w:r>
    </w:p>
    <w:p w:rsidR="004A71C8" w:rsidRPr="00987D22" w:rsidRDefault="004A71C8" w:rsidP="004A71C8">
      <w:pPr>
        <w:spacing w:line="340" w:lineRule="exact"/>
        <w:ind w:firstLineChars="200" w:firstLine="420"/>
        <w:rPr>
          <w:rFonts w:ascii="方正书宋简体" w:eastAsia="方正书宋简体" w:hAnsi="Arial" w:cs="Arial"/>
          <w:b/>
          <w:color w:val="000000" w:themeColor="text1"/>
          <w:szCs w:val="21"/>
        </w:rPr>
      </w:pPr>
      <w:r w:rsidRPr="00987D22">
        <w:rPr>
          <w:rFonts w:ascii="方正书宋简体" w:eastAsia="方正书宋简体" w:hint="eastAsia"/>
          <w:b/>
          <w:color w:val="000000" w:themeColor="text1"/>
          <w:szCs w:val="21"/>
        </w:rPr>
        <w:t xml:space="preserve">利润总额 </w:t>
      </w:r>
      <w:r w:rsidRPr="00987D22">
        <w:rPr>
          <w:rFonts w:ascii="方正书宋简体" w:eastAsia="方正书宋简体" w:hint="eastAsia"/>
          <w:color w:val="000000" w:themeColor="text1"/>
          <w:szCs w:val="21"/>
        </w:rPr>
        <w:t xml:space="preserve"> 指企业在一定会计期间的经营成果，是生产经营过程中各种收入扣除各种耗费后的盈余，反映企业在报告期内实现的盈亏总额。</w:t>
      </w:r>
    </w:p>
    <w:p w:rsidR="004A71C8" w:rsidRPr="00987D22" w:rsidRDefault="004A71C8" w:rsidP="004A71C8">
      <w:pPr>
        <w:spacing w:line="340" w:lineRule="exact"/>
        <w:ind w:firstLineChars="200" w:firstLine="420"/>
        <w:rPr>
          <w:rFonts w:ascii="方正书宋简体" w:eastAsia="方正书宋简体"/>
          <w:color w:val="000000" w:themeColor="text1"/>
          <w:szCs w:val="21"/>
        </w:rPr>
      </w:pPr>
      <w:r w:rsidRPr="00987D22">
        <w:rPr>
          <w:rFonts w:ascii="方正书宋简体" w:eastAsia="方正书宋简体" w:hint="eastAsia"/>
          <w:b/>
          <w:color w:val="000000" w:themeColor="text1"/>
          <w:szCs w:val="21"/>
        </w:rPr>
        <w:t xml:space="preserve">应付职工薪酬 </w:t>
      </w:r>
      <w:r w:rsidRPr="00987D22">
        <w:rPr>
          <w:rFonts w:ascii="方正书宋简体" w:eastAsia="方正书宋简体" w:hint="eastAsia"/>
          <w:color w:val="000000" w:themeColor="text1"/>
          <w:szCs w:val="21"/>
        </w:rPr>
        <w:t xml:space="preserve"> 指企业为获得职工提供的服务而给予各种形式的报酬以及其他相关支出。包括职工工资、奖金、津贴和补贴，职工福利费，医疗保险费、养老保险费、失业保险费、工伤保险费和生育保险费等社会保险费，住房公积金，工会经费和职工教育经费，非货币性福利，因解除与职工的劳动关系给予的补偿，其他与获得职工提供的服务相关的支出。</w:t>
      </w:r>
    </w:p>
    <w:p w:rsidR="004A71C8" w:rsidRPr="00987D22" w:rsidRDefault="004A71C8" w:rsidP="004A71C8">
      <w:pPr>
        <w:spacing w:line="340" w:lineRule="exact"/>
        <w:ind w:firstLineChars="196" w:firstLine="412"/>
        <w:rPr>
          <w:rFonts w:ascii="方正书宋简体" w:eastAsia="方正书宋简体"/>
          <w:color w:val="000000" w:themeColor="text1"/>
          <w:szCs w:val="21"/>
        </w:rPr>
      </w:pPr>
      <w:r w:rsidRPr="00987D22">
        <w:rPr>
          <w:rFonts w:ascii="方正书宋简体" w:eastAsia="方正书宋简体" w:hint="eastAsia"/>
          <w:b/>
          <w:color w:val="000000" w:themeColor="text1"/>
          <w:szCs w:val="21"/>
        </w:rPr>
        <w:t xml:space="preserve">应交增值税 </w:t>
      </w:r>
      <w:r w:rsidRPr="00987D22">
        <w:rPr>
          <w:rFonts w:ascii="方正书宋简体" w:eastAsia="方正书宋简体" w:hint="eastAsia"/>
          <w:color w:val="000000" w:themeColor="text1"/>
          <w:szCs w:val="21"/>
        </w:rPr>
        <w:t xml:space="preserve"> 指企业按税法规定，从事货物销售或提供加工、修理修配劳务等增加货物价值的活动本期应交纳的税金，不含期初未抵扣税额。</w:t>
      </w:r>
    </w:p>
    <w:p w:rsidR="004A71C8" w:rsidRPr="00987D22" w:rsidRDefault="004A71C8" w:rsidP="004A71C8">
      <w:pPr>
        <w:spacing w:line="360" w:lineRule="exact"/>
        <w:ind w:right="-38" w:firstLine="420"/>
        <w:rPr>
          <w:color w:val="000000" w:themeColor="text1"/>
          <w:szCs w:val="21"/>
        </w:rPr>
      </w:pPr>
      <w:r w:rsidRPr="00987D22">
        <w:rPr>
          <w:rFonts w:eastAsia="黑体" w:hint="eastAsia"/>
          <w:bCs/>
          <w:color w:val="000000" w:themeColor="text1"/>
          <w:szCs w:val="21"/>
        </w:rPr>
        <w:t>能源库存量</w:t>
      </w:r>
      <w:r w:rsidRPr="00987D22">
        <w:rPr>
          <w:rFonts w:hint="eastAsia"/>
          <w:bCs/>
          <w:color w:val="000000" w:themeColor="text1"/>
          <w:szCs w:val="21"/>
        </w:rPr>
        <w:t>指</w:t>
      </w:r>
      <w:r w:rsidRPr="00987D22">
        <w:rPr>
          <w:rFonts w:hint="eastAsia"/>
          <w:color w:val="000000" w:themeColor="text1"/>
          <w:szCs w:val="21"/>
        </w:rPr>
        <w:t>能源使用企业（单位）在报告期的某时间点所拥有的、</w:t>
      </w:r>
      <w:r w:rsidRPr="00987D22">
        <w:rPr>
          <w:rFonts w:ascii="宋体" w:hAnsi="宋体" w:hint="eastAsia"/>
          <w:bCs/>
          <w:color w:val="000000" w:themeColor="text1"/>
          <w:szCs w:val="21"/>
        </w:rPr>
        <w:t>用于企业（单位）消费或转卖（不包括本企业自己生产的）</w:t>
      </w:r>
      <w:r w:rsidRPr="00987D22">
        <w:rPr>
          <w:rFonts w:hint="eastAsia"/>
          <w:color w:val="000000" w:themeColor="text1"/>
          <w:szCs w:val="21"/>
        </w:rPr>
        <w:t>的各种能源的库存量。</w:t>
      </w:r>
    </w:p>
    <w:p w:rsidR="004A71C8" w:rsidRPr="00987D22" w:rsidRDefault="004A71C8" w:rsidP="004A71C8">
      <w:pPr>
        <w:spacing w:line="360" w:lineRule="exact"/>
        <w:ind w:right="-38" w:firstLine="420"/>
        <w:rPr>
          <w:color w:val="000000" w:themeColor="text1"/>
          <w:szCs w:val="21"/>
        </w:rPr>
      </w:pPr>
      <w:r w:rsidRPr="00987D22">
        <w:rPr>
          <w:rFonts w:eastAsia="黑体" w:hint="eastAsia"/>
          <w:bCs/>
          <w:color w:val="000000" w:themeColor="text1"/>
          <w:szCs w:val="21"/>
        </w:rPr>
        <w:t>能源购进量</w:t>
      </w:r>
      <w:r w:rsidRPr="00987D22">
        <w:rPr>
          <w:rFonts w:hint="eastAsia"/>
          <w:bCs/>
          <w:color w:val="000000" w:themeColor="text1"/>
          <w:szCs w:val="21"/>
        </w:rPr>
        <w:t>指能源使用企业（单位）在报告期购进的各种能源数量。</w:t>
      </w:r>
    </w:p>
    <w:p w:rsidR="004A71C8" w:rsidRPr="00987D22" w:rsidRDefault="004A71C8" w:rsidP="004A71C8">
      <w:pPr>
        <w:spacing w:line="360" w:lineRule="exact"/>
        <w:ind w:right="-38" w:firstLine="420"/>
        <w:rPr>
          <w:color w:val="000000" w:themeColor="text1"/>
          <w:szCs w:val="21"/>
        </w:rPr>
      </w:pPr>
      <w:r w:rsidRPr="00987D22">
        <w:rPr>
          <w:rFonts w:hint="eastAsia"/>
          <w:bCs/>
          <w:color w:val="000000" w:themeColor="text1"/>
          <w:szCs w:val="21"/>
        </w:rPr>
        <w:t>能源购进量按照实物量填报。</w:t>
      </w:r>
      <w:r w:rsidRPr="00987D22">
        <w:rPr>
          <w:rFonts w:hint="eastAsia"/>
          <w:color w:val="000000" w:themeColor="text1"/>
          <w:szCs w:val="21"/>
        </w:rPr>
        <w:t>各种能源的</w:t>
      </w:r>
      <w:r w:rsidRPr="00987D22">
        <w:rPr>
          <w:rFonts w:hint="eastAsia"/>
          <w:bCs/>
          <w:color w:val="000000" w:themeColor="text1"/>
          <w:szCs w:val="21"/>
        </w:rPr>
        <w:t>能源购进实物量</w:t>
      </w:r>
      <w:r w:rsidRPr="00987D22">
        <w:rPr>
          <w:rFonts w:hint="eastAsia"/>
          <w:color w:val="000000" w:themeColor="text1"/>
          <w:szCs w:val="21"/>
        </w:rPr>
        <w:t>分别按照报表规定的、体现物质形态属性的计量单位（如：吨、立方米）计算的能源购进量。</w:t>
      </w:r>
    </w:p>
    <w:p w:rsidR="004A71C8" w:rsidRPr="00987D22" w:rsidRDefault="004A71C8" w:rsidP="004A71C8">
      <w:pPr>
        <w:spacing w:line="360" w:lineRule="exact"/>
        <w:ind w:right="-38" w:firstLine="420"/>
        <w:rPr>
          <w:color w:val="000000" w:themeColor="text1"/>
          <w:szCs w:val="21"/>
        </w:rPr>
      </w:pPr>
      <w:r w:rsidRPr="00987D22">
        <w:rPr>
          <w:rFonts w:eastAsia="黑体" w:hint="eastAsia"/>
          <w:bCs/>
          <w:color w:val="000000" w:themeColor="text1"/>
          <w:szCs w:val="21"/>
        </w:rPr>
        <w:t>购自省外</w:t>
      </w:r>
      <w:r w:rsidRPr="00987D22">
        <w:rPr>
          <w:rFonts w:hint="eastAsia"/>
          <w:bCs/>
          <w:color w:val="000000" w:themeColor="text1"/>
          <w:szCs w:val="21"/>
        </w:rPr>
        <w:t>指能源使用企业在报告期内从本省（自治区、直辖市）以外（包括进口）购进的能源数量。</w:t>
      </w:r>
    </w:p>
    <w:p w:rsidR="004A71C8" w:rsidRPr="00987D22" w:rsidRDefault="004A71C8" w:rsidP="004A71C8">
      <w:pPr>
        <w:spacing w:line="360" w:lineRule="exact"/>
        <w:ind w:right="-38" w:firstLine="420"/>
        <w:rPr>
          <w:color w:val="000000" w:themeColor="text1"/>
          <w:szCs w:val="21"/>
        </w:rPr>
      </w:pPr>
      <w:r w:rsidRPr="00987D22">
        <w:rPr>
          <w:rFonts w:eastAsia="黑体" w:hint="eastAsia"/>
          <w:bCs/>
          <w:color w:val="000000" w:themeColor="text1"/>
          <w:szCs w:val="21"/>
        </w:rPr>
        <w:t>能源消费量</w:t>
      </w:r>
      <w:r w:rsidRPr="00987D22">
        <w:rPr>
          <w:rFonts w:hint="eastAsia"/>
          <w:color w:val="000000" w:themeColor="text1"/>
          <w:szCs w:val="21"/>
        </w:rPr>
        <w:t>指能源使用企业（单位）在报告期内实际消费的各种能源的数量。能源消费量分实物量和标准量两种。能源消费实物量是按照报表规定的、体现物质形态属性的计量单位（如：吨、立方米）计算的能源消费量；能源消费标准量是按照能源标准计量单位（如：吨标准煤）计算的能源消费量。</w:t>
      </w:r>
    </w:p>
    <w:p w:rsidR="001C035A" w:rsidRPr="00987D22" w:rsidRDefault="004A71C8" w:rsidP="004A71C8">
      <w:pPr>
        <w:ind w:firstLineChars="200" w:firstLine="420"/>
        <w:rPr>
          <w:color w:val="000000" w:themeColor="text1"/>
        </w:rPr>
      </w:pPr>
      <w:bookmarkStart w:id="0" w:name="_GoBack"/>
      <w:bookmarkEnd w:id="0"/>
      <w:r w:rsidRPr="00987D22">
        <w:rPr>
          <w:rFonts w:eastAsia="黑体" w:hint="eastAsia"/>
          <w:bCs/>
          <w:color w:val="000000" w:themeColor="text1"/>
          <w:szCs w:val="21"/>
        </w:rPr>
        <w:t>工业企业能源消费量</w:t>
      </w:r>
      <w:r w:rsidRPr="00987D22">
        <w:rPr>
          <w:rFonts w:hint="eastAsia"/>
          <w:color w:val="000000" w:themeColor="text1"/>
          <w:szCs w:val="21"/>
        </w:rPr>
        <w:t>指工业企业在工业生产活动和非工业生产活动中消费的能源，</w:t>
      </w:r>
    </w:p>
    <w:sectPr w:rsidR="001C035A" w:rsidRPr="00987D22" w:rsidSect="004A71C8">
      <w:pgSz w:w="11906" w:h="16838" w:code="9"/>
      <w:pgMar w:top="2268" w:right="1814" w:bottom="2268" w:left="1814" w:header="851" w:footer="1985" w:gutter="0"/>
      <w:cols w:space="425"/>
      <w:docGrid w:type="lines" w:linePitch="31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7CC" w:rsidRDefault="000407CC" w:rsidP="00052815">
      <w:r>
        <w:separator/>
      </w:r>
    </w:p>
  </w:endnote>
  <w:endnote w:type="continuationSeparator" w:id="1">
    <w:p w:rsidR="000407CC" w:rsidRDefault="000407CC" w:rsidP="000528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书宋简体">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7CC" w:rsidRDefault="000407CC" w:rsidP="00052815">
      <w:r>
        <w:separator/>
      </w:r>
    </w:p>
  </w:footnote>
  <w:footnote w:type="continuationSeparator" w:id="1">
    <w:p w:rsidR="000407CC" w:rsidRDefault="000407CC" w:rsidP="000528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315"/>
  <w:displayHorizontalDrawingGridEvery w:val="0"/>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1C8"/>
    <w:rsid w:val="000407CC"/>
    <w:rsid w:val="00052815"/>
    <w:rsid w:val="001833AB"/>
    <w:rsid w:val="001C035A"/>
    <w:rsid w:val="004A71C8"/>
    <w:rsid w:val="00987D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1C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28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2815"/>
    <w:rPr>
      <w:rFonts w:ascii="Times New Roman" w:eastAsia="宋体" w:hAnsi="Times New Roman" w:cs="Times New Roman"/>
      <w:sz w:val="18"/>
      <w:szCs w:val="18"/>
    </w:rPr>
  </w:style>
  <w:style w:type="paragraph" w:styleId="a4">
    <w:name w:val="footer"/>
    <w:basedOn w:val="a"/>
    <w:link w:val="Char0"/>
    <w:uiPriority w:val="99"/>
    <w:semiHidden/>
    <w:unhideWhenUsed/>
    <w:rsid w:val="000528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528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953</Characters>
  <Application>Microsoft Office Word</Application>
  <DocSecurity>0</DocSecurity>
  <Lines>7</Lines>
  <Paragraphs>2</Paragraphs>
  <ScaleCrop>false</ScaleCrop>
  <Company>P R C</Company>
  <LinksUpToDate>false</LinksUpToDate>
  <CharactersWithSpaces>1118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3</cp:revision>
  <dcterms:created xsi:type="dcterms:W3CDTF">2017-05-24T02:40:00Z</dcterms:created>
  <dcterms:modified xsi:type="dcterms:W3CDTF">2017-07-27T03:15:00Z</dcterms:modified>
</cp:coreProperties>
</file>