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  <w:r>
        <w:rPr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" w:eastAsia="zh-CN"/>
        </w:rPr>
        <w:t>5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知识产权指标说明</w:t>
      </w:r>
    </w:p>
    <w:p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一、所称“Ⅰ类知识产权”包括发明专利（含国防专利）、植物新品种、国家级农作物品种、国家新药、国家一级中药保护品种、集成电路布图设计专有权（均不包含转让未满1年的知识产权）。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二、所称“Ⅰ类高价值知识产权”须符合以下条件之一：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1.在海外有同族专利权的发明专利或在海外取得收入的其他Ⅰ类知识产权，其中专利限G20成员、新加坡以及欧洲专利局经实质审查后获得授权的发明专利。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2.维持年限超过10年的Ⅰ类知识产权。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3.实现较高质押融资金额的Ⅰ类知识产权。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4.获得国家科学技术奖或中国专利奖的Ⅰ类知识产权。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三、所称“Ⅱ类知识产权”包括与主导产品相关的软件著作权（不含商标）、授权后维持超过2年的实用新型专利或外观设计专利（均不包含转让未满1年的知识产权）。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0ZmJiMDM5MWYyOGMxZWE2ZjZlYmY1ZTRmYzMxMDMifQ=="/>
  </w:docVars>
  <w:rsids>
    <w:rsidRoot w:val="00000000"/>
    <w:rsid w:val="0F9D41F9"/>
    <w:rsid w:val="2BDE6BB1"/>
    <w:rsid w:val="32B36390"/>
    <w:rsid w:val="3BE8A5E5"/>
    <w:rsid w:val="679908C2"/>
    <w:rsid w:val="7FD674EE"/>
    <w:rsid w:val="E3FEF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356</Characters>
  <Lines>0</Lines>
  <Paragraphs>0</Paragraphs>
  <TotalTime>3</TotalTime>
  <ScaleCrop>false</ScaleCrop>
  <LinksUpToDate>false</LinksUpToDate>
  <CharactersWithSpaces>356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2022-09-13T12:05:00Z</dcterms:created>
  <dc:creator>Daisy</dc:creator>
  <cp:lastModifiedBy>kylin</cp:lastModifiedBy>
  <dcterms:modified xsi:type="dcterms:W3CDTF">2026-06-26T10:15:17Z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3D3EBAFE1E874020870B9E40D0A5EB4D</vt:lpwstr>
  </property>
</Properties>
</file>