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" w:lineRule="atLeast"/>
        <w:ind w:left="0" w:right="0" w:firstLine="0"/>
        <w:jc w:val="left"/>
        <w:textAlignment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  <w:r>
        <w:rPr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"/>
        </w:rPr>
        <w:t>4</w:t>
      </w: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" w:lineRule="atLeast"/>
        <w:ind w:left="0" w:right="0" w:firstLine="0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创新型中小企业评价标准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" w:lineRule="atLeast"/>
        <w:ind w:left="0" w:right="0" w:firstLine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 一、公告条件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评价得分达到60分以上（其中创新能力指标得分不低于20分、成长性指标及专业化指标得分均不低于15分），或满足下列条件之一：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（一）近三年内获得过国家级、省级科技奖励。  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（二）获得高新技术企业、国家级技术创新示范企业、知识产权优势企业和知识产权示范企业等荣誉（均为有效期内）。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（三）拥有经认定的省部级以上研发机构。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（四）近三年新增股权融资总额（合格机构投资者的实缴额）500万元以上。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</w:t>
      </w: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二、评价指标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包括创新能力、成长性、专业化三类六个指标，评价结果依分值计算，满分为100分。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    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（一）创新能力指标（满分40分）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1.与企业主导产品相关的有效知识产权数量（满分20分）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A. Ⅰ类高价值知识产权1项以上（20分）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B. 自主研发的Ⅰ类知识产权1项以上（15分）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C. Ⅰ类知识产权1项以上（10分）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D. Ⅱ类知识产权1项以上（5分）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E. 无（0分）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2.上年度研发费用总额占营业收入总额比重（满分20分）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A. 5%以上（20分）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B. 3%-5%（15分）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C. 2%-3%（10分）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D. 1%-2%（5分）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E. 1%以下（0分）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（二）成长性指标（满分30分）　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3.上年度主营业务收入增长率（满分20分）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A. 15%以上（20分）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B. 10%-15%（15分）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C. 5%-10%（10分）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D. 0%-5%（5分）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E. 0%以下（0分）    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4.上年度资产负债率（满分10分）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A. 55%以下（10分）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B. 55%-75%（5分）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D. 75%以上（0分）    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（三）专业化指标（满分30分）</w:t>
      </w:r>
      <w:r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5.主导产品所属领域情况（满分10分）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A.属于《战略性新兴产业分类》（10分）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B.属于其他领域（5分）    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6.上年度主营业务收入总额占营业收入总额比重（满分20分）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A. 70%以上（20分）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B. 60%-70%（15分）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C. 55%-60%（10分）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D. 50%-55%（5分）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>　　E. 50%以下（0分）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yMmY5ODkwMTRkMWM2NmQxNjQ2OWQ3NmY2ZWY0NzQifQ=="/>
  </w:docVars>
  <w:rsids>
    <w:rsidRoot w:val="00000000"/>
    <w:rsid w:val="4E7FFD28"/>
    <w:rsid w:val="75DC1342"/>
    <w:rsid w:val="BEEE2A8F"/>
    <w:rsid w:val="F7FEF22E"/>
    <w:rsid w:val="FDE5E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2022-09-13T12:03:00Z</dcterms:created>
  <dc:creator>Daisy</dc:creator>
  <cp:lastModifiedBy>kylin</cp:lastModifiedBy>
  <dcterms:modified xsi:type="dcterms:W3CDTF">2026-06-26T10:14:58Z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334AFDCC2315421CB96C46579259D453</vt:lpwstr>
  </property>
</Properties>
</file>