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646" w:leftChars="202" w:right="730" w:rightChars="228"/>
        <w:jc w:val="center"/>
        <w:rPr>
          <w:rFonts w:hint="eastAsia" w:ascii="方正小标宋简体" w:hAnsi="方正小标宋简体" w:eastAsia="方正小标宋简体" w:cs="方正小标宋简体"/>
          <w:bCs/>
          <w:color w:val="auto"/>
          <w:kern w:val="0"/>
          <w:sz w:val="52"/>
          <w:szCs w:val="52"/>
        </w:rPr>
      </w:pPr>
    </w:p>
    <w:p>
      <w:pPr>
        <w:ind w:left="646" w:leftChars="202" w:right="730" w:rightChars="228"/>
        <w:jc w:val="center"/>
        <w:rPr>
          <w:rFonts w:hint="eastAsia" w:ascii="方正小标宋简体" w:hAnsi="方正小标宋简体" w:eastAsia="方正小标宋简体" w:cs="方正小标宋简体"/>
          <w:bCs/>
          <w:color w:val="auto"/>
          <w:kern w:val="0"/>
          <w:sz w:val="52"/>
          <w:szCs w:val="52"/>
        </w:rPr>
      </w:pPr>
    </w:p>
    <w:p>
      <w:pPr>
        <w:ind w:right="730" w:rightChars="228"/>
        <w:jc w:val="center"/>
        <w:rPr>
          <w:rFonts w:hint="eastAsia" w:ascii="方正小标宋简体" w:hAnsi="方正小标宋简体" w:eastAsia="方正小标宋简体" w:cs="方正小标宋简体"/>
          <w:bCs/>
          <w:color w:val="auto"/>
          <w:kern w:val="0"/>
          <w:sz w:val="52"/>
          <w:szCs w:val="52"/>
        </w:rPr>
      </w:pPr>
      <w:r>
        <w:rPr>
          <w:rFonts w:hint="eastAsia" w:ascii="方正小标宋简体" w:hAnsi="方正小标宋简体" w:eastAsia="方正小标宋简体" w:cs="方正小标宋简体"/>
          <w:bCs/>
          <w:color w:val="auto"/>
          <w:kern w:val="0"/>
          <w:sz w:val="52"/>
          <w:szCs w:val="52"/>
        </w:rPr>
        <w:t>茂名市教育发展“十四五”规划</w:t>
      </w:r>
    </w:p>
    <w:p>
      <w:pPr>
        <w:pStyle w:val="2"/>
        <w:jc w:val="center"/>
        <w:rPr>
          <w:rFonts w:hint="eastAsia" w:ascii="楷体" w:hAnsi="楷体" w:eastAsia="楷体" w:cs="楷体"/>
          <w:color w:val="auto"/>
          <w:lang w:eastAsia="zh-CN"/>
        </w:rPr>
      </w:pPr>
    </w:p>
    <w:p>
      <w:pPr>
        <w:pStyle w:val="2"/>
        <w:rPr>
          <w:rFonts w:ascii="Times New Roman" w:hAnsi="Times New Roman" w:eastAsia="黑体" w:cs="Times New Roman"/>
          <w:b/>
          <w:color w:val="auto"/>
          <w:kern w:val="0"/>
          <w:sz w:val="56"/>
          <w:szCs w:val="56"/>
        </w:rPr>
      </w:pPr>
    </w:p>
    <w:p>
      <w:pPr>
        <w:rPr>
          <w:rFonts w:ascii="Calibri" w:hAnsi="Calibri" w:eastAsia="宋体" w:cs="Times New Roman"/>
          <w:color w:val="auto"/>
          <w:sz w:val="21"/>
          <w:szCs w:val="24"/>
        </w:rPr>
      </w:pPr>
    </w:p>
    <w:p>
      <w:pPr>
        <w:rPr>
          <w:rFonts w:ascii="Calibri" w:hAnsi="Calibri" w:eastAsia="宋体" w:cs="Times New Roman"/>
          <w:color w:val="auto"/>
          <w:sz w:val="21"/>
          <w:szCs w:val="24"/>
        </w:rPr>
      </w:pPr>
    </w:p>
    <w:p>
      <w:pPr>
        <w:spacing w:line="660" w:lineRule="exact"/>
        <w:ind w:left="646" w:leftChars="202" w:right="730" w:rightChars="228" w:firstLine="2"/>
        <w:jc w:val="center"/>
        <w:rPr>
          <w:rFonts w:ascii="Times New Roman" w:hAnsi="Times New Roman" w:eastAsia="黑体" w:cs="Times New Roman"/>
          <w:b/>
          <w:color w:val="auto"/>
          <w:kern w:val="0"/>
          <w:sz w:val="56"/>
          <w:szCs w:val="56"/>
        </w:rPr>
      </w:pPr>
    </w:p>
    <w:p>
      <w:pPr>
        <w:ind w:firstLine="440" w:firstLineChars="100"/>
        <w:jc w:val="center"/>
        <w:rPr>
          <w:rFonts w:ascii="Times New Roman" w:hAnsi="Times New Roman" w:eastAsia="仿宋_GB2312" w:cs="Times New Roman"/>
          <w:color w:val="auto"/>
          <w:kern w:val="0"/>
          <w:sz w:val="44"/>
          <w:szCs w:val="44"/>
        </w:rPr>
      </w:pPr>
    </w:p>
    <w:p>
      <w:pPr>
        <w:ind w:firstLine="440" w:firstLineChars="100"/>
        <w:jc w:val="center"/>
        <w:rPr>
          <w:rFonts w:ascii="Times New Roman" w:hAnsi="Times New Roman" w:eastAsia="仿宋_GB2312" w:cs="Times New Roman"/>
          <w:color w:val="auto"/>
          <w:kern w:val="0"/>
          <w:sz w:val="44"/>
          <w:szCs w:val="44"/>
        </w:rPr>
      </w:pPr>
    </w:p>
    <w:p>
      <w:pPr>
        <w:ind w:firstLine="440" w:firstLineChars="100"/>
        <w:jc w:val="center"/>
        <w:rPr>
          <w:rFonts w:ascii="Times New Roman" w:hAnsi="Times New Roman" w:eastAsia="仿宋_GB2312" w:cs="Times New Roman"/>
          <w:color w:val="auto"/>
          <w:kern w:val="0"/>
          <w:sz w:val="44"/>
          <w:szCs w:val="44"/>
        </w:rPr>
      </w:pPr>
    </w:p>
    <w:p>
      <w:pPr>
        <w:ind w:firstLine="440" w:firstLineChars="100"/>
        <w:jc w:val="center"/>
        <w:rPr>
          <w:rFonts w:ascii="Times New Roman" w:hAnsi="Times New Roman" w:eastAsia="仿宋_GB2312" w:cs="Times New Roman"/>
          <w:color w:val="auto"/>
          <w:kern w:val="0"/>
          <w:sz w:val="44"/>
          <w:szCs w:val="44"/>
        </w:rPr>
      </w:pPr>
    </w:p>
    <w:p>
      <w:pPr>
        <w:pStyle w:val="2"/>
        <w:rPr>
          <w:color w:val="auto"/>
        </w:rPr>
      </w:pPr>
    </w:p>
    <w:p>
      <w:pPr>
        <w:pStyle w:val="2"/>
        <w:spacing w:line="600" w:lineRule="exact"/>
        <w:ind w:left="0" w:leftChars="0" w:firstLine="0" w:firstLineChars="0"/>
        <w:jc w:val="center"/>
        <w:rPr>
          <w:rFonts w:hint="eastAsia" w:ascii="仿宋_GB2312" w:hAnsi="仿宋_GB2312" w:eastAsia="仿宋_GB2312" w:cs="仿宋_GB2312"/>
          <w:bCs/>
          <w:color w:val="auto"/>
          <w:kern w:val="0"/>
          <w:sz w:val="36"/>
          <w:szCs w:val="36"/>
        </w:rPr>
      </w:pPr>
      <w:r>
        <w:rPr>
          <w:rFonts w:hint="eastAsia" w:ascii="仿宋_GB2312" w:hAnsi="仿宋_GB2312" w:eastAsia="仿宋_GB2312" w:cs="仿宋_GB2312"/>
          <w:snapToGrid w:val="0"/>
          <w:color w:val="auto"/>
          <w:spacing w:val="20"/>
          <w:kern w:val="0"/>
          <w:sz w:val="36"/>
          <w:szCs w:val="36"/>
        </w:rPr>
        <w:t>2022年</w:t>
      </w:r>
      <w:r>
        <w:rPr>
          <w:rFonts w:hint="eastAsia" w:ascii="仿宋_GB2312" w:hAnsi="仿宋_GB2312" w:eastAsia="仿宋_GB2312" w:cs="仿宋_GB2312"/>
          <w:snapToGrid w:val="0"/>
          <w:color w:val="auto"/>
          <w:spacing w:val="20"/>
          <w:kern w:val="0"/>
          <w:sz w:val="36"/>
          <w:szCs w:val="36"/>
          <w:lang w:val="en-US" w:eastAsia="zh-CN"/>
        </w:rPr>
        <w:t>8</w:t>
      </w:r>
      <w:r>
        <w:rPr>
          <w:rFonts w:hint="eastAsia" w:ascii="仿宋_GB2312" w:hAnsi="仿宋_GB2312" w:eastAsia="仿宋_GB2312" w:cs="仿宋_GB2312"/>
          <w:snapToGrid w:val="0"/>
          <w:color w:val="auto"/>
          <w:spacing w:val="20"/>
          <w:kern w:val="0"/>
          <w:sz w:val="36"/>
          <w:szCs w:val="36"/>
        </w:rPr>
        <w:t>月</w:t>
      </w:r>
    </w:p>
    <w:p>
      <w:pPr>
        <w:pStyle w:val="2"/>
        <w:ind w:left="0" w:leftChars="0" w:firstLine="0" w:firstLineChars="0"/>
        <w:rPr>
          <w:rFonts w:eastAsia="方正小标宋简体"/>
          <w:bCs/>
          <w:color w:val="auto"/>
          <w:kern w:val="0"/>
          <w:sz w:val="36"/>
          <w:szCs w:val="36"/>
        </w:rPr>
      </w:pPr>
    </w:p>
    <w:p>
      <w:pPr>
        <w:rPr>
          <w:rFonts w:eastAsia="方正小标宋简体"/>
          <w:bCs/>
          <w:color w:val="auto"/>
          <w:kern w:val="0"/>
          <w:sz w:val="36"/>
          <w:szCs w:val="36"/>
        </w:rPr>
      </w:pPr>
    </w:p>
    <w:p>
      <w:pPr>
        <w:pStyle w:val="2"/>
      </w:pPr>
    </w:p>
    <w:p>
      <w:pPr>
        <w:pStyle w:val="2"/>
        <w:rPr>
          <w:rFonts w:eastAsia="方正小标宋简体"/>
          <w:bCs/>
          <w:color w:val="auto"/>
          <w:kern w:val="0"/>
          <w:sz w:val="36"/>
          <w:szCs w:val="36"/>
        </w:rPr>
      </w:pPr>
    </w:p>
    <w:p>
      <w:pPr>
        <w:pStyle w:val="12"/>
        <w:keepNext/>
        <w:keepLines/>
        <w:pageBreakBefore w:val="0"/>
        <w:widowControl/>
        <w:kinsoku/>
        <w:wordWrap/>
        <w:overflowPunct/>
        <w:topLinePunct w:val="0"/>
        <w:autoSpaceDE/>
        <w:autoSpaceDN/>
        <w:bidi w:val="0"/>
        <w:adjustRightInd/>
        <w:snapToGrid/>
        <w:spacing w:before="0" w:beforeLines="0"/>
        <w:jc w:val="center"/>
        <w:textAlignment w:val="auto"/>
        <w:rPr>
          <w:rFonts w:ascii="方正小标宋简体" w:hAnsi="方正小标宋简体" w:eastAsia="方正小标宋简体" w:cs="方正小标宋简体"/>
          <w:b w:val="0"/>
          <w:bCs w:val="0"/>
          <w:color w:val="auto"/>
          <w:kern w:val="2"/>
          <w:sz w:val="36"/>
          <w:szCs w:val="36"/>
          <w:lang w:val="zh-CN"/>
        </w:rPr>
      </w:pPr>
      <w:bookmarkStart w:id="0" w:name="_Toc294367124_WPSOffice_Type3"/>
      <w:r>
        <w:rPr>
          <w:rFonts w:hint="eastAsia" w:ascii="方正小标宋简体" w:hAnsi="方正小标宋简体" w:eastAsia="方正小标宋简体" w:cs="方正小标宋简体"/>
          <w:b w:val="0"/>
          <w:bCs w:val="0"/>
          <w:color w:val="auto"/>
          <w:kern w:val="2"/>
          <w:sz w:val="36"/>
          <w:szCs w:val="36"/>
          <w:lang w:val="zh-CN"/>
        </w:rPr>
        <w:t>目</w:t>
      </w:r>
      <w:r>
        <w:rPr>
          <w:rFonts w:hint="eastAsia" w:ascii="方正小标宋简体" w:hAnsi="方正小标宋简体" w:eastAsia="方正小标宋简体" w:cs="方正小标宋简体"/>
          <w:b w:val="0"/>
          <w:bCs w:val="0"/>
          <w:color w:val="auto"/>
          <w:kern w:val="2"/>
          <w:sz w:val="36"/>
          <w:szCs w:val="36"/>
        </w:rPr>
        <w:t xml:space="preserve">  </w:t>
      </w:r>
      <w:r>
        <w:rPr>
          <w:rFonts w:hint="eastAsia" w:ascii="方正小标宋简体" w:hAnsi="方正小标宋简体" w:eastAsia="方正小标宋简体" w:cs="方正小标宋简体"/>
          <w:b w:val="0"/>
          <w:bCs w:val="0"/>
          <w:color w:val="auto"/>
          <w:kern w:val="2"/>
          <w:sz w:val="36"/>
          <w:szCs w:val="36"/>
          <w:lang w:val="zh-CN"/>
        </w:rPr>
        <w:t>录</w:t>
      </w:r>
    </w:p>
    <w:p>
      <w:pPr>
        <w:pStyle w:val="13"/>
        <w:tabs>
          <w:tab w:val="right" w:leader="dot" w:pos="8844"/>
        </w:tabs>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86640377_WPSOffice_Level1" </w:instrText>
      </w:r>
      <w:r>
        <w:rPr>
          <w:color w:val="auto"/>
        </w:rPr>
        <w:fldChar w:fldCharType="separate"/>
      </w:r>
      <w:r>
        <w:rPr>
          <w:rFonts w:hint="eastAsia" w:ascii="方正小标宋简体" w:hAnsi="方正小标宋简体" w:eastAsia="方正小标宋简体" w:cs="方正小标宋简体"/>
          <w:color w:val="auto"/>
          <w:sz w:val="30"/>
          <w:szCs w:val="30"/>
        </w:rPr>
        <w:t>前  言</w:t>
      </w:r>
      <w:r>
        <w:rPr>
          <w:color w:val="auto"/>
        </w:rPr>
        <w:tab/>
      </w:r>
      <w:bookmarkStart w:id="1" w:name="_Toc86640377_WPSOffice_Level1Page"/>
      <w:r>
        <w:rPr>
          <w:color w:val="auto"/>
          <w:sz w:val="30"/>
          <w:szCs w:val="30"/>
        </w:rPr>
        <w:t>1</w:t>
      </w:r>
      <w:bookmarkEnd w:id="1"/>
      <w:r>
        <w:rPr>
          <w:color w:val="auto"/>
          <w:sz w:val="30"/>
          <w:szCs w:val="30"/>
        </w:rPr>
        <w:fldChar w:fldCharType="end"/>
      </w:r>
    </w:p>
    <w:p>
      <w:pPr>
        <w:pStyle w:val="13"/>
        <w:tabs>
          <w:tab w:val="right" w:leader="dot" w:pos="8844"/>
        </w:tabs>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294367124_WPSOffice_Level1" </w:instrText>
      </w:r>
      <w:r>
        <w:rPr>
          <w:color w:val="auto"/>
        </w:rPr>
        <w:fldChar w:fldCharType="separate"/>
      </w:r>
      <w:r>
        <w:rPr>
          <w:rFonts w:hint="eastAsia" w:ascii="方正小标宋简体" w:hAnsi="方正小标宋简体" w:eastAsia="方正小标宋简体" w:cs="方正小标宋简体"/>
          <w:color w:val="auto"/>
          <w:sz w:val="30"/>
          <w:szCs w:val="30"/>
        </w:rPr>
        <w:t xml:space="preserve">第一章 </w:t>
      </w:r>
      <w:r>
        <w:rPr>
          <w:rFonts w:hint="eastAsia" w:ascii="方正小标宋简体" w:hAnsi="方正小标宋简体" w:eastAsia="方正小标宋简体" w:cs="方正小标宋简体"/>
          <w:color w:val="auto"/>
          <w:sz w:val="30"/>
          <w:szCs w:val="30"/>
          <w:shd w:val="clear" w:color="auto" w:fill="auto"/>
        </w:rPr>
        <w:t>筑</w:t>
      </w:r>
      <w:r>
        <w:rPr>
          <w:rFonts w:hint="eastAsia" w:ascii="方正小标宋简体" w:hAnsi="方正小标宋简体" w:eastAsia="方正小标宋简体" w:cs="方正小标宋简体"/>
          <w:color w:val="auto"/>
          <w:sz w:val="30"/>
          <w:szCs w:val="30"/>
        </w:rPr>
        <w:t>实发展基础，适应新形势新任务新要求</w:t>
      </w:r>
      <w:r>
        <w:rPr>
          <w:color w:val="auto"/>
        </w:rPr>
        <w:tab/>
      </w:r>
      <w:r>
        <w:rPr>
          <w:color w:val="auto"/>
          <w:sz w:val="30"/>
          <w:szCs w:val="30"/>
        </w:rPr>
        <w:fldChar w:fldCharType="end"/>
      </w:r>
      <w:r>
        <w:rPr>
          <w:rFonts w:hint="eastAsia"/>
          <w:color w:val="auto"/>
          <w:sz w:val="30"/>
          <w:szCs w:val="30"/>
          <w:lang w:val="en-US" w:eastAsia="zh-CN"/>
        </w:rPr>
        <w:t>2</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294367124_WPSOffice_Level2" </w:instrText>
      </w:r>
      <w:r>
        <w:rPr>
          <w:color w:val="auto"/>
        </w:rPr>
        <w:fldChar w:fldCharType="separate"/>
      </w:r>
      <w:r>
        <w:rPr>
          <w:rFonts w:hint="eastAsia" w:hAnsi="楷体" w:eastAsia="楷体"/>
          <w:color w:val="auto"/>
          <w:sz w:val="30"/>
          <w:szCs w:val="30"/>
        </w:rPr>
        <w:t>第一节 发展基础</w:t>
      </w:r>
      <w:r>
        <w:rPr>
          <w:color w:val="auto"/>
        </w:rPr>
        <w:tab/>
      </w:r>
      <w:r>
        <w:rPr>
          <w:color w:val="auto"/>
          <w:sz w:val="30"/>
          <w:szCs w:val="30"/>
        </w:rPr>
        <w:fldChar w:fldCharType="end"/>
      </w:r>
      <w:r>
        <w:rPr>
          <w:rFonts w:hint="eastAsia"/>
          <w:color w:val="auto"/>
          <w:sz w:val="30"/>
          <w:szCs w:val="30"/>
          <w:lang w:val="en-US" w:eastAsia="zh-CN"/>
        </w:rPr>
        <w:t>2</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648828807_WPSOffice_Level2" </w:instrText>
      </w:r>
      <w:r>
        <w:rPr>
          <w:color w:val="auto"/>
        </w:rPr>
        <w:fldChar w:fldCharType="separate"/>
      </w:r>
      <w:r>
        <w:rPr>
          <w:rFonts w:hint="eastAsia" w:hAnsi="楷体" w:eastAsia="楷体"/>
          <w:color w:val="auto"/>
          <w:sz w:val="30"/>
          <w:szCs w:val="30"/>
        </w:rPr>
        <w:t>第二节 面临形势</w:t>
      </w:r>
      <w:r>
        <w:rPr>
          <w:color w:val="auto"/>
        </w:rPr>
        <w:tab/>
      </w:r>
      <w:r>
        <w:rPr>
          <w:rFonts w:hint="eastAsia"/>
          <w:color w:val="auto"/>
          <w:sz w:val="30"/>
          <w:szCs w:val="30"/>
          <w:lang w:val="en-US" w:eastAsia="zh-CN"/>
        </w:rPr>
        <w:t>6</w:t>
      </w:r>
      <w:r>
        <w:rPr>
          <w:color w:val="auto"/>
          <w:sz w:val="30"/>
          <w:szCs w:val="30"/>
        </w:rPr>
        <w:fldChar w:fldCharType="end"/>
      </w:r>
    </w:p>
    <w:p>
      <w:pPr>
        <w:pStyle w:val="13"/>
        <w:tabs>
          <w:tab w:val="right" w:leader="dot" w:pos="8844"/>
        </w:tabs>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648828807_WPSOffice_Level1" </w:instrText>
      </w:r>
      <w:r>
        <w:rPr>
          <w:color w:val="auto"/>
        </w:rPr>
        <w:fldChar w:fldCharType="separate"/>
      </w:r>
      <w:r>
        <w:rPr>
          <w:rFonts w:hint="eastAsia" w:ascii="方正小标宋简体" w:hAnsi="方正小标宋简体" w:eastAsia="方正小标宋简体" w:cs="方正小标宋简体"/>
          <w:color w:val="auto"/>
          <w:sz w:val="30"/>
          <w:szCs w:val="30"/>
        </w:rPr>
        <w:t>第二章 把握总体战略，</w:t>
      </w:r>
      <w:r>
        <w:rPr>
          <w:rFonts w:hint="eastAsia" w:ascii="方正小标宋简体" w:hAnsi="方正小标宋简体" w:eastAsia="方正小标宋简体" w:cs="方正小标宋简体"/>
          <w:color w:val="auto"/>
          <w:sz w:val="30"/>
          <w:szCs w:val="30"/>
          <w:shd w:val="clear" w:color="auto" w:fill="auto"/>
        </w:rPr>
        <w:t>锚</w:t>
      </w:r>
      <w:r>
        <w:rPr>
          <w:rFonts w:hint="eastAsia" w:ascii="方正小标宋简体" w:hAnsi="方正小标宋简体" w:eastAsia="方正小标宋简体" w:cs="方正小标宋简体"/>
          <w:color w:val="auto"/>
          <w:sz w:val="30"/>
          <w:szCs w:val="30"/>
        </w:rPr>
        <w:t>定目标开启教育事业新征程</w:t>
      </w:r>
      <w:r>
        <w:rPr>
          <w:color w:val="auto"/>
        </w:rPr>
        <w:tab/>
      </w:r>
      <w:r>
        <w:rPr>
          <w:color w:val="auto"/>
          <w:sz w:val="30"/>
          <w:szCs w:val="30"/>
        </w:rPr>
        <w:fldChar w:fldCharType="end"/>
      </w:r>
      <w:r>
        <w:rPr>
          <w:rFonts w:hint="eastAsia"/>
          <w:color w:val="auto"/>
          <w:sz w:val="30"/>
          <w:szCs w:val="30"/>
          <w:lang w:val="en-US" w:eastAsia="zh-CN"/>
        </w:rPr>
        <w:t>9</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1954984112_WPSOffice_Level2" </w:instrText>
      </w:r>
      <w:r>
        <w:rPr>
          <w:color w:val="auto"/>
        </w:rPr>
        <w:fldChar w:fldCharType="separate"/>
      </w:r>
      <w:r>
        <w:rPr>
          <w:rFonts w:hint="eastAsia" w:hAnsi="楷体" w:eastAsia="楷体"/>
          <w:color w:val="auto"/>
          <w:sz w:val="30"/>
          <w:szCs w:val="30"/>
        </w:rPr>
        <w:t>第一节 指导思想</w:t>
      </w:r>
      <w:r>
        <w:rPr>
          <w:color w:val="auto"/>
        </w:rPr>
        <w:tab/>
      </w:r>
      <w:r>
        <w:rPr>
          <w:color w:val="auto"/>
          <w:sz w:val="30"/>
          <w:szCs w:val="30"/>
        </w:rPr>
        <w:fldChar w:fldCharType="end"/>
      </w:r>
      <w:r>
        <w:rPr>
          <w:rFonts w:hint="eastAsia"/>
          <w:color w:val="auto"/>
          <w:sz w:val="30"/>
          <w:szCs w:val="30"/>
          <w:lang w:val="en-US" w:eastAsia="zh-CN"/>
        </w:rPr>
        <w:t>9</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1137724732_WPSOffice_Level2" </w:instrText>
      </w:r>
      <w:r>
        <w:rPr>
          <w:color w:val="auto"/>
        </w:rPr>
        <w:fldChar w:fldCharType="separate"/>
      </w:r>
      <w:r>
        <w:rPr>
          <w:rFonts w:hint="eastAsia" w:ascii="楷体" w:hAnsi="楷体" w:eastAsia="楷体" w:cs="楷体"/>
          <w:color w:val="auto"/>
          <w:sz w:val="30"/>
          <w:szCs w:val="30"/>
        </w:rPr>
        <w:t>第二节 基本原则</w:t>
      </w:r>
      <w:r>
        <w:rPr>
          <w:color w:val="auto"/>
        </w:rPr>
        <w:tab/>
      </w:r>
      <w:r>
        <w:rPr>
          <w:color w:val="auto"/>
          <w:sz w:val="30"/>
          <w:szCs w:val="30"/>
        </w:rPr>
        <w:fldChar w:fldCharType="end"/>
      </w:r>
      <w:r>
        <w:rPr>
          <w:rFonts w:hint="eastAsia"/>
          <w:color w:val="auto"/>
          <w:sz w:val="30"/>
          <w:szCs w:val="30"/>
          <w:lang w:val="en-US" w:eastAsia="zh-CN"/>
        </w:rPr>
        <w:t>9</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842852618_WPSOffice_Level2" </w:instrText>
      </w:r>
      <w:r>
        <w:rPr>
          <w:color w:val="auto"/>
        </w:rPr>
        <w:fldChar w:fldCharType="separate"/>
      </w:r>
      <w:r>
        <w:rPr>
          <w:rFonts w:hint="eastAsia" w:ascii="楷体" w:hAnsi="楷体" w:eastAsia="楷体" w:cs="楷体"/>
          <w:color w:val="auto"/>
          <w:sz w:val="30"/>
          <w:szCs w:val="30"/>
        </w:rPr>
        <w:t>第三节 发展目标</w:t>
      </w:r>
      <w:r>
        <w:rPr>
          <w:color w:val="auto"/>
        </w:rPr>
        <w:tab/>
      </w:r>
      <w:r>
        <w:rPr>
          <w:color w:val="auto"/>
          <w:sz w:val="30"/>
          <w:szCs w:val="30"/>
        </w:rPr>
        <w:fldChar w:fldCharType="end"/>
      </w:r>
      <w:r>
        <w:rPr>
          <w:rFonts w:hint="eastAsia"/>
          <w:color w:val="auto"/>
          <w:sz w:val="30"/>
          <w:szCs w:val="30"/>
          <w:lang w:val="en-US" w:eastAsia="zh-CN"/>
        </w:rPr>
        <w:t>10</w:t>
      </w:r>
    </w:p>
    <w:p>
      <w:pPr>
        <w:pStyle w:val="13"/>
        <w:tabs>
          <w:tab w:val="right" w:leader="dot" w:pos="8844"/>
        </w:tabs>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1954984112_WPSOffice_Level1" </w:instrText>
      </w:r>
      <w:r>
        <w:rPr>
          <w:color w:val="auto"/>
        </w:rPr>
        <w:fldChar w:fldCharType="separate"/>
      </w:r>
      <w:r>
        <w:rPr>
          <w:rFonts w:hint="eastAsia" w:ascii="方正小标宋简体" w:hAnsi="方正小标宋简体" w:eastAsia="方正小标宋简体" w:cs="方正小标宋简体"/>
          <w:color w:val="auto"/>
          <w:sz w:val="30"/>
          <w:szCs w:val="30"/>
        </w:rPr>
        <w:t>第三章 构建四大体系，优化教育高质量发展格局</w:t>
      </w:r>
      <w:r>
        <w:rPr>
          <w:color w:val="auto"/>
        </w:rPr>
        <w:tab/>
      </w:r>
      <w:bookmarkStart w:id="2" w:name="_Toc1954984112_WPSOffice_Level1Page"/>
      <w:r>
        <w:rPr>
          <w:color w:val="auto"/>
          <w:sz w:val="30"/>
          <w:szCs w:val="30"/>
        </w:rPr>
        <w:t>1</w:t>
      </w:r>
      <w:bookmarkEnd w:id="2"/>
      <w:r>
        <w:rPr>
          <w:color w:val="auto"/>
          <w:sz w:val="30"/>
          <w:szCs w:val="30"/>
        </w:rPr>
        <w:fldChar w:fldCharType="end"/>
      </w:r>
      <w:r>
        <w:rPr>
          <w:rFonts w:hint="eastAsia"/>
          <w:color w:val="auto"/>
          <w:sz w:val="30"/>
          <w:szCs w:val="30"/>
          <w:lang w:val="en-US" w:eastAsia="zh-CN"/>
        </w:rPr>
        <w:t>4</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1834232943_WPSOffice_Level2" </w:instrText>
      </w:r>
      <w:r>
        <w:rPr>
          <w:color w:val="auto"/>
        </w:rPr>
        <w:fldChar w:fldCharType="separate"/>
      </w:r>
      <w:r>
        <w:rPr>
          <w:rFonts w:hint="eastAsia" w:ascii="楷体" w:hAnsi="楷体" w:eastAsia="楷体" w:cs="楷体"/>
          <w:color w:val="auto"/>
          <w:sz w:val="30"/>
          <w:szCs w:val="30"/>
        </w:rPr>
        <w:t>第一节 构建大中小幼一体化的思想政治工作体系</w:t>
      </w:r>
      <w:r>
        <w:rPr>
          <w:color w:val="auto"/>
        </w:rPr>
        <w:tab/>
      </w:r>
      <w:bookmarkStart w:id="3" w:name="_Toc1834232943_WPSOffice_Level2Page"/>
      <w:r>
        <w:rPr>
          <w:color w:val="auto"/>
          <w:sz w:val="30"/>
          <w:szCs w:val="30"/>
        </w:rPr>
        <w:t>1</w:t>
      </w:r>
      <w:bookmarkEnd w:id="3"/>
      <w:r>
        <w:rPr>
          <w:color w:val="auto"/>
          <w:sz w:val="30"/>
          <w:szCs w:val="30"/>
        </w:rPr>
        <w:fldChar w:fldCharType="end"/>
      </w:r>
      <w:r>
        <w:rPr>
          <w:rFonts w:hint="eastAsia"/>
          <w:color w:val="auto"/>
          <w:sz w:val="30"/>
          <w:szCs w:val="30"/>
          <w:lang w:val="en-US" w:eastAsia="zh-CN"/>
        </w:rPr>
        <w:t>4</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1451562331_WPSOffice_Level2" </w:instrText>
      </w:r>
      <w:r>
        <w:rPr>
          <w:color w:val="auto"/>
        </w:rPr>
        <w:fldChar w:fldCharType="separate"/>
      </w:r>
      <w:r>
        <w:rPr>
          <w:rFonts w:hint="eastAsia" w:ascii="楷体" w:hAnsi="楷体" w:eastAsia="楷体" w:cs="楷体"/>
          <w:color w:val="auto"/>
          <w:sz w:val="30"/>
          <w:szCs w:val="30"/>
        </w:rPr>
        <w:t>第二节 构建学校家庭社会协同育人体系</w:t>
      </w:r>
      <w:r>
        <w:rPr>
          <w:color w:val="auto"/>
        </w:rPr>
        <w:tab/>
      </w:r>
      <w:bookmarkStart w:id="4" w:name="_Toc1451562331_WPSOffice_Level2Page"/>
      <w:r>
        <w:rPr>
          <w:color w:val="auto"/>
          <w:sz w:val="30"/>
          <w:szCs w:val="30"/>
        </w:rPr>
        <w:t>1</w:t>
      </w:r>
      <w:bookmarkEnd w:id="4"/>
      <w:r>
        <w:rPr>
          <w:color w:val="auto"/>
          <w:sz w:val="30"/>
          <w:szCs w:val="30"/>
        </w:rPr>
        <w:fldChar w:fldCharType="end"/>
      </w:r>
      <w:r>
        <w:rPr>
          <w:rFonts w:hint="eastAsia"/>
          <w:color w:val="auto"/>
          <w:sz w:val="30"/>
          <w:szCs w:val="30"/>
          <w:lang w:val="en-US" w:eastAsia="zh-CN"/>
        </w:rPr>
        <w:t>6</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2050134961_WPSOffice_Level2" </w:instrText>
      </w:r>
      <w:r>
        <w:rPr>
          <w:color w:val="auto"/>
        </w:rPr>
        <w:fldChar w:fldCharType="separate"/>
      </w:r>
      <w:r>
        <w:rPr>
          <w:rFonts w:hint="eastAsia" w:ascii="楷体" w:hAnsi="楷体" w:eastAsia="楷体" w:cs="楷体"/>
          <w:color w:val="auto"/>
          <w:sz w:val="30"/>
          <w:szCs w:val="30"/>
        </w:rPr>
        <w:t>第三节 构建服务全民终身学习的教育体系</w:t>
      </w:r>
      <w:r>
        <w:rPr>
          <w:color w:val="auto"/>
        </w:rPr>
        <w:tab/>
      </w:r>
      <w:bookmarkStart w:id="5" w:name="_Toc2050134961_WPSOffice_Level2Page"/>
      <w:r>
        <w:rPr>
          <w:color w:val="auto"/>
          <w:sz w:val="30"/>
          <w:szCs w:val="30"/>
        </w:rPr>
        <w:t>1</w:t>
      </w:r>
      <w:bookmarkEnd w:id="5"/>
      <w:r>
        <w:rPr>
          <w:color w:val="auto"/>
          <w:sz w:val="30"/>
          <w:szCs w:val="30"/>
        </w:rPr>
        <w:fldChar w:fldCharType="end"/>
      </w:r>
      <w:r>
        <w:rPr>
          <w:rFonts w:hint="eastAsia"/>
          <w:color w:val="auto"/>
          <w:sz w:val="30"/>
          <w:szCs w:val="30"/>
          <w:lang w:val="en-US" w:eastAsia="zh-CN"/>
        </w:rPr>
        <w:t>7</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1664857094_WPSOffice_Level2" </w:instrText>
      </w:r>
      <w:r>
        <w:rPr>
          <w:color w:val="auto"/>
        </w:rPr>
        <w:fldChar w:fldCharType="separate"/>
      </w:r>
      <w:r>
        <w:rPr>
          <w:rFonts w:hint="eastAsia" w:ascii="楷体" w:hAnsi="楷体" w:eastAsia="楷体" w:cs="楷体"/>
          <w:color w:val="auto"/>
          <w:sz w:val="30"/>
          <w:szCs w:val="30"/>
        </w:rPr>
        <w:t>第四节 构建现代化教育支撑体系</w:t>
      </w:r>
      <w:r>
        <w:rPr>
          <w:color w:val="auto"/>
        </w:rPr>
        <w:tab/>
      </w:r>
      <w:bookmarkStart w:id="6" w:name="_Toc1664857094_WPSOffice_Level2Page"/>
      <w:r>
        <w:rPr>
          <w:color w:val="auto"/>
          <w:sz w:val="30"/>
          <w:szCs w:val="30"/>
        </w:rPr>
        <w:t>1</w:t>
      </w:r>
      <w:bookmarkEnd w:id="6"/>
      <w:r>
        <w:rPr>
          <w:color w:val="auto"/>
          <w:sz w:val="30"/>
          <w:szCs w:val="30"/>
        </w:rPr>
        <w:fldChar w:fldCharType="end"/>
      </w:r>
      <w:r>
        <w:rPr>
          <w:rFonts w:hint="eastAsia"/>
          <w:color w:val="auto"/>
          <w:sz w:val="30"/>
          <w:szCs w:val="30"/>
          <w:lang w:val="en-US" w:eastAsia="zh-CN"/>
        </w:rPr>
        <w:t>8</w:t>
      </w:r>
    </w:p>
    <w:p>
      <w:pPr>
        <w:pStyle w:val="13"/>
        <w:tabs>
          <w:tab w:val="right" w:leader="dot" w:pos="8844"/>
        </w:tabs>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1137724732_WPSOffice_Level1" </w:instrText>
      </w:r>
      <w:r>
        <w:rPr>
          <w:color w:val="auto"/>
        </w:rPr>
        <w:fldChar w:fldCharType="separate"/>
      </w:r>
      <w:r>
        <w:rPr>
          <w:rFonts w:hint="eastAsia" w:ascii="方正小标宋简体" w:hAnsi="方正小标宋简体" w:eastAsia="方正小标宋简体" w:cs="方正小标宋简体"/>
          <w:color w:val="auto"/>
          <w:sz w:val="30"/>
          <w:szCs w:val="30"/>
        </w:rPr>
        <w:t>第四章 推动五大提升，夯实教育高质量发展基础</w:t>
      </w:r>
      <w:r>
        <w:rPr>
          <w:color w:val="auto"/>
        </w:rPr>
        <w:tab/>
      </w:r>
      <w:r>
        <w:rPr>
          <w:color w:val="auto"/>
          <w:sz w:val="30"/>
          <w:szCs w:val="30"/>
        </w:rPr>
        <w:fldChar w:fldCharType="end"/>
      </w:r>
      <w:r>
        <w:rPr>
          <w:rFonts w:hint="eastAsia"/>
          <w:color w:val="auto"/>
          <w:sz w:val="30"/>
          <w:szCs w:val="30"/>
          <w:lang w:val="en-US" w:eastAsia="zh-CN"/>
        </w:rPr>
        <w:t>21</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436618750_WPSOffice_Level2" </w:instrText>
      </w:r>
      <w:r>
        <w:rPr>
          <w:color w:val="auto"/>
        </w:rPr>
        <w:fldChar w:fldCharType="separate"/>
      </w:r>
      <w:r>
        <w:rPr>
          <w:rFonts w:hint="eastAsia" w:ascii="楷体" w:hAnsi="楷体" w:eastAsia="楷体" w:cs="楷体"/>
          <w:color w:val="auto"/>
          <w:sz w:val="30"/>
          <w:szCs w:val="30"/>
        </w:rPr>
        <w:t>第一节 提升学生综合素质</w:t>
      </w:r>
      <w:r>
        <w:rPr>
          <w:color w:val="auto"/>
        </w:rPr>
        <w:tab/>
      </w:r>
      <w:r>
        <w:rPr>
          <w:color w:val="auto"/>
          <w:sz w:val="30"/>
          <w:szCs w:val="30"/>
        </w:rPr>
        <w:fldChar w:fldCharType="end"/>
      </w:r>
      <w:r>
        <w:rPr>
          <w:rFonts w:hint="eastAsia"/>
          <w:color w:val="auto"/>
          <w:sz w:val="30"/>
          <w:szCs w:val="30"/>
          <w:lang w:val="en-US" w:eastAsia="zh-CN"/>
        </w:rPr>
        <w:t>21</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855879986_WPSOffice_Level2" </w:instrText>
      </w:r>
      <w:r>
        <w:rPr>
          <w:color w:val="auto"/>
        </w:rPr>
        <w:fldChar w:fldCharType="separate"/>
      </w:r>
      <w:r>
        <w:rPr>
          <w:rFonts w:hint="eastAsia" w:ascii="楷体" w:hAnsi="楷体" w:eastAsia="楷体" w:cs="楷体"/>
          <w:color w:val="auto"/>
          <w:sz w:val="30"/>
          <w:szCs w:val="30"/>
        </w:rPr>
        <w:t>第二节 提升基础教育高质量发展水平</w:t>
      </w:r>
      <w:r>
        <w:rPr>
          <w:color w:val="auto"/>
        </w:rPr>
        <w:tab/>
      </w:r>
      <w:bookmarkStart w:id="7" w:name="_Toc855879986_WPSOffice_Level2Page"/>
      <w:r>
        <w:rPr>
          <w:color w:val="auto"/>
          <w:sz w:val="30"/>
          <w:szCs w:val="30"/>
        </w:rPr>
        <w:t>2</w:t>
      </w:r>
      <w:bookmarkEnd w:id="7"/>
      <w:r>
        <w:rPr>
          <w:color w:val="auto"/>
          <w:sz w:val="30"/>
          <w:szCs w:val="30"/>
        </w:rPr>
        <w:fldChar w:fldCharType="end"/>
      </w:r>
      <w:r>
        <w:rPr>
          <w:rFonts w:hint="eastAsia"/>
          <w:color w:val="auto"/>
          <w:sz w:val="30"/>
          <w:szCs w:val="30"/>
          <w:lang w:val="en-US" w:eastAsia="zh-CN"/>
        </w:rPr>
        <w:t>5</w:t>
      </w:r>
    </w:p>
    <w:p>
      <w:pPr>
        <w:pStyle w:val="14"/>
        <w:tabs>
          <w:tab w:val="right" w:leader="dot" w:pos="8844"/>
        </w:tabs>
        <w:ind w:left="420"/>
        <w:rPr>
          <w:rFonts w:hint="eastAsia" w:eastAsia="宋体"/>
          <w:color w:val="auto"/>
          <w:lang w:val="en-US" w:eastAsia="zh-CN"/>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763790997_WPSOffice_Level2" </w:instrText>
      </w:r>
      <w:r>
        <w:rPr>
          <w:color w:val="auto"/>
        </w:rPr>
        <w:fldChar w:fldCharType="separate"/>
      </w:r>
      <w:r>
        <w:rPr>
          <w:rFonts w:hint="eastAsia" w:ascii="楷体" w:hAnsi="楷体" w:eastAsia="楷体" w:cs="楷体"/>
          <w:color w:val="auto"/>
          <w:sz w:val="30"/>
          <w:szCs w:val="30"/>
        </w:rPr>
        <w:t>第三节 提升职业教育扩容提质强服务水平</w:t>
      </w:r>
      <w:r>
        <w:rPr>
          <w:color w:val="auto"/>
        </w:rPr>
        <w:tab/>
      </w:r>
      <w:r>
        <w:rPr>
          <w:color w:val="auto"/>
          <w:sz w:val="30"/>
          <w:szCs w:val="30"/>
        </w:rPr>
        <w:fldChar w:fldCharType="end"/>
      </w:r>
      <w:r>
        <w:rPr>
          <w:rFonts w:hint="eastAsia"/>
          <w:color w:val="auto"/>
          <w:sz w:val="30"/>
          <w:szCs w:val="30"/>
          <w:lang w:val="en-US" w:eastAsia="zh-CN"/>
        </w:rPr>
        <w:t>30</w:t>
      </w:r>
    </w:p>
    <w:p>
      <w:pPr>
        <w:pStyle w:val="14"/>
        <w:tabs>
          <w:tab w:val="right" w:leader="dot" w:pos="8844"/>
        </w:tabs>
        <w:ind w:left="420"/>
        <w:rPr>
          <w:rFonts w:hint="eastAsia" w:eastAsia="宋体"/>
          <w:color w:val="auto"/>
          <w:lang w:val="en-US" w:eastAsia="zh-CN"/>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2085872357_WPSOffice_Level2" </w:instrText>
      </w:r>
      <w:r>
        <w:rPr>
          <w:color w:val="auto"/>
        </w:rPr>
        <w:fldChar w:fldCharType="separate"/>
      </w:r>
      <w:r>
        <w:rPr>
          <w:rFonts w:hint="eastAsia" w:ascii="楷体" w:hAnsi="楷体" w:eastAsia="楷体" w:cs="楷体"/>
          <w:color w:val="auto"/>
          <w:sz w:val="30"/>
          <w:szCs w:val="30"/>
        </w:rPr>
        <w:t>第四节 提升高等教育内涵发展水平</w:t>
      </w:r>
      <w:r>
        <w:rPr>
          <w:color w:val="auto"/>
        </w:rPr>
        <w:tab/>
      </w:r>
      <w:r>
        <w:rPr>
          <w:rFonts w:hint="eastAsia"/>
          <w:color w:val="auto"/>
          <w:sz w:val="30"/>
          <w:szCs w:val="30"/>
          <w:lang w:val="en-US" w:eastAsia="zh-CN"/>
        </w:rPr>
        <w:t>3</w:t>
      </w:r>
      <w:r>
        <w:rPr>
          <w:color w:val="auto"/>
          <w:sz w:val="30"/>
          <w:szCs w:val="30"/>
        </w:rPr>
        <w:fldChar w:fldCharType="end"/>
      </w:r>
      <w:r>
        <w:rPr>
          <w:rFonts w:hint="eastAsia"/>
          <w:color w:val="auto"/>
          <w:sz w:val="30"/>
          <w:szCs w:val="30"/>
          <w:lang w:val="en-US" w:eastAsia="zh-CN"/>
        </w:rPr>
        <w:t>3</w:t>
      </w:r>
    </w:p>
    <w:p>
      <w:pPr>
        <w:pStyle w:val="14"/>
        <w:tabs>
          <w:tab w:val="right" w:leader="dot" w:pos="8844"/>
        </w:tabs>
        <w:ind w:left="420"/>
        <w:rPr>
          <w:rFonts w:hint="eastAsia" w:eastAsia="宋体"/>
          <w:color w:val="auto"/>
          <w:lang w:val="en-US" w:eastAsia="zh-CN"/>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989409008_WPSOffice_Level2" </w:instrText>
      </w:r>
      <w:r>
        <w:rPr>
          <w:color w:val="auto"/>
        </w:rPr>
        <w:fldChar w:fldCharType="separate"/>
      </w:r>
      <w:r>
        <w:rPr>
          <w:rFonts w:hint="eastAsia" w:ascii="楷体" w:hAnsi="楷体" w:eastAsia="楷体" w:cs="楷体"/>
          <w:color w:val="auto"/>
          <w:sz w:val="30"/>
          <w:szCs w:val="30"/>
        </w:rPr>
        <w:t>第五节 提升教育人才队伍素质</w:t>
      </w:r>
      <w:r>
        <w:rPr>
          <w:color w:val="auto"/>
        </w:rPr>
        <w:tab/>
      </w:r>
      <w:r>
        <w:rPr>
          <w:rFonts w:hint="eastAsia"/>
          <w:color w:val="auto"/>
          <w:sz w:val="30"/>
          <w:szCs w:val="30"/>
          <w:lang w:val="en-US" w:eastAsia="zh-CN"/>
        </w:rPr>
        <w:t>3</w:t>
      </w:r>
      <w:r>
        <w:rPr>
          <w:color w:val="auto"/>
          <w:sz w:val="30"/>
          <w:szCs w:val="30"/>
        </w:rPr>
        <w:fldChar w:fldCharType="end"/>
      </w:r>
      <w:r>
        <w:rPr>
          <w:rFonts w:hint="eastAsia"/>
          <w:color w:val="auto"/>
          <w:sz w:val="30"/>
          <w:szCs w:val="30"/>
          <w:lang w:val="en-US" w:eastAsia="zh-CN"/>
        </w:rPr>
        <w:t>4</w:t>
      </w:r>
    </w:p>
    <w:p>
      <w:pPr>
        <w:pStyle w:val="13"/>
        <w:tabs>
          <w:tab w:val="right" w:leader="dot" w:pos="8844"/>
        </w:tabs>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842852618_WPSOffice_Level1" </w:instrText>
      </w:r>
      <w:r>
        <w:rPr>
          <w:color w:val="auto"/>
        </w:rPr>
        <w:fldChar w:fldCharType="separate"/>
      </w:r>
      <w:r>
        <w:rPr>
          <w:rFonts w:hint="eastAsia" w:ascii="方正小标宋简体" w:hAnsi="方正小标宋简体" w:eastAsia="方正小标宋简体" w:cs="方正小标宋简体"/>
          <w:color w:val="auto"/>
          <w:sz w:val="30"/>
          <w:szCs w:val="30"/>
        </w:rPr>
        <w:t>第五章 深化七大改革，完善教育高质量发展体制</w:t>
      </w:r>
      <w:r>
        <w:rPr>
          <w:color w:val="auto"/>
        </w:rPr>
        <w:tab/>
      </w:r>
      <w:r>
        <w:rPr>
          <w:color w:val="auto"/>
          <w:sz w:val="30"/>
          <w:szCs w:val="30"/>
        </w:rPr>
        <w:fldChar w:fldCharType="end"/>
      </w:r>
      <w:r>
        <w:rPr>
          <w:rFonts w:hint="eastAsia"/>
          <w:color w:val="auto"/>
          <w:sz w:val="30"/>
          <w:szCs w:val="30"/>
          <w:lang w:val="en-US" w:eastAsia="zh-CN"/>
        </w:rPr>
        <w:t>40</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1642990604_WPSOffice_Level2" </w:instrText>
      </w:r>
      <w:r>
        <w:rPr>
          <w:color w:val="auto"/>
        </w:rPr>
        <w:fldChar w:fldCharType="separate"/>
      </w:r>
      <w:r>
        <w:rPr>
          <w:rFonts w:hint="eastAsia" w:ascii="楷体" w:hAnsi="楷体" w:eastAsia="楷体" w:cs="楷体"/>
          <w:color w:val="auto"/>
          <w:sz w:val="30"/>
          <w:szCs w:val="30"/>
        </w:rPr>
        <w:t>第一节 深化新时代教育评价改革</w:t>
      </w:r>
      <w:r>
        <w:rPr>
          <w:color w:val="auto"/>
        </w:rPr>
        <w:tab/>
      </w:r>
      <w:r>
        <w:rPr>
          <w:color w:val="auto"/>
          <w:sz w:val="30"/>
          <w:szCs w:val="30"/>
        </w:rPr>
        <w:fldChar w:fldCharType="end"/>
      </w:r>
      <w:r>
        <w:rPr>
          <w:rFonts w:hint="eastAsia"/>
          <w:color w:val="auto"/>
          <w:sz w:val="30"/>
          <w:szCs w:val="30"/>
          <w:lang w:val="en-US" w:eastAsia="zh-CN"/>
        </w:rPr>
        <w:t>40</w:t>
      </w:r>
    </w:p>
    <w:p>
      <w:pPr>
        <w:pStyle w:val="14"/>
        <w:tabs>
          <w:tab w:val="right" w:leader="dot" w:pos="8844"/>
        </w:tabs>
        <w:ind w:left="420"/>
        <w:rPr>
          <w:rFonts w:hint="eastAsia" w:eastAsia="宋体"/>
          <w:color w:val="auto"/>
          <w:lang w:val="en-US" w:eastAsia="zh-CN"/>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172469946_WPSOffice_Level2" </w:instrText>
      </w:r>
      <w:r>
        <w:rPr>
          <w:color w:val="auto"/>
        </w:rPr>
        <w:fldChar w:fldCharType="separate"/>
      </w:r>
      <w:r>
        <w:rPr>
          <w:rFonts w:hint="eastAsia" w:ascii="楷体" w:hAnsi="楷体" w:eastAsia="楷体" w:cs="楷体"/>
          <w:color w:val="auto"/>
          <w:sz w:val="30"/>
          <w:szCs w:val="30"/>
        </w:rPr>
        <w:t>第二节 深化办学体制和管理体制改革</w:t>
      </w:r>
      <w:r>
        <w:rPr>
          <w:color w:val="auto"/>
        </w:rPr>
        <w:tab/>
      </w:r>
      <w:r>
        <w:rPr>
          <w:rFonts w:hint="eastAsia"/>
          <w:color w:val="auto"/>
          <w:sz w:val="30"/>
          <w:szCs w:val="30"/>
          <w:lang w:val="en-US" w:eastAsia="zh-CN"/>
        </w:rPr>
        <w:t>4</w:t>
      </w:r>
      <w:r>
        <w:rPr>
          <w:color w:val="auto"/>
          <w:sz w:val="30"/>
          <w:szCs w:val="30"/>
        </w:rPr>
        <w:fldChar w:fldCharType="end"/>
      </w:r>
      <w:r>
        <w:rPr>
          <w:rFonts w:hint="eastAsia"/>
          <w:color w:val="auto"/>
          <w:sz w:val="30"/>
          <w:szCs w:val="30"/>
          <w:lang w:val="en-US" w:eastAsia="zh-CN"/>
        </w:rPr>
        <w:t>2</w:t>
      </w:r>
    </w:p>
    <w:p>
      <w:pPr>
        <w:pStyle w:val="14"/>
        <w:tabs>
          <w:tab w:val="right" w:leader="dot" w:pos="8844"/>
        </w:tabs>
        <w:ind w:left="420"/>
        <w:rPr>
          <w:rFonts w:hint="default" w:eastAsia="宋体"/>
          <w:color w:val="auto"/>
          <w:lang w:val="en-US" w:eastAsia="zh-CN"/>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1772072717_WPSOffice_Level2" </w:instrText>
      </w:r>
      <w:r>
        <w:rPr>
          <w:color w:val="auto"/>
        </w:rPr>
        <w:fldChar w:fldCharType="separate"/>
      </w:r>
      <w:r>
        <w:rPr>
          <w:rFonts w:hint="eastAsia" w:ascii="楷体" w:hAnsi="楷体" w:eastAsia="楷体" w:cs="楷体"/>
          <w:color w:val="auto"/>
          <w:sz w:val="30"/>
          <w:szCs w:val="30"/>
        </w:rPr>
        <w:t>第三节 深化民办教育管理改革</w:t>
      </w:r>
      <w:r>
        <w:rPr>
          <w:color w:val="auto"/>
        </w:rPr>
        <w:tab/>
      </w:r>
      <w:r>
        <w:rPr>
          <w:color w:val="auto"/>
          <w:sz w:val="30"/>
          <w:szCs w:val="30"/>
        </w:rPr>
        <w:fldChar w:fldCharType="end"/>
      </w:r>
      <w:r>
        <w:rPr>
          <w:rFonts w:hint="eastAsia"/>
          <w:color w:val="auto"/>
          <w:sz w:val="30"/>
          <w:szCs w:val="30"/>
          <w:lang w:val="en-US" w:eastAsia="zh-CN"/>
        </w:rPr>
        <w:t>43</w:t>
      </w:r>
    </w:p>
    <w:p>
      <w:pPr>
        <w:pStyle w:val="14"/>
        <w:tabs>
          <w:tab w:val="right" w:leader="dot" w:pos="8844"/>
        </w:tabs>
        <w:ind w:left="420"/>
        <w:rPr>
          <w:rFonts w:hint="eastAsia" w:eastAsia="宋体"/>
          <w:color w:val="auto"/>
          <w:lang w:val="en-US" w:eastAsia="zh-CN"/>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821092168_WPSOffice_Level2" </w:instrText>
      </w:r>
      <w:r>
        <w:rPr>
          <w:color w:val="auto"/>
        </w:rPr>
        <w:fldChar w:fldCharType="separate"/>
      </w:r>
      <w:r>
        <w:rPr>
          <w:rFonts w:hint="eastAsia" w:ascii="楷体" w:hAnsi="楷体" w:eastAsia="楷体" w:cs="楷体"/>
          <w:color w:val="auto"/>
          <w:sz w:val="30"/>
          <w:szCs w:val="30"/>
        </w:rPr>
        <w:t>第四节 深化考试招生制度改革</w:t>
      </w:r>
      <w:r>
        <w:rPr>
          <w:color w:val="auto"/>
        </w:rPr>
        <w:tab/>
      </w:r>
      <w:r>
        <w:rPr>
          <w:rFonts w:hint="eastAsia"/>
          <w:color w:val="auto"/>
          <w:sz w:val="30"/>
          <w:szCs w:val="30"/>
          <w:lang w:val="en-US" w:eastAsia="zh-CN"/>
        </w:rPr>
        <w:t>4</w:t>
      </w:r>
      <w:r>
        <w:rPr>
          <w:rFonts w:hint="eastAsia"/>
          <w:color w:val="auto"/>
          <w:kern w:val="2"/>
          <w:sz w:val="30"/>
          <w:szCs w:val="30"/>
        </w:rPr>
        <w:fldChar w:fldCharType="end"/>
      </w:r>
      <w:r>
        <w:rPr>
          <w:rFonts w:hint="eastAsia"/>
          <w:color w:val="auto"/>
          <w:kern w:val="2"/>
          <w:sz w:val="30"/>
          <w:szCs w:val="30"/>
          <w:lang w:val="en-US" w:eastAsia="zh-CN"/>
        </w:rPr>
        <w:t>5</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144303499_WPSOffice_Level2" </w:instrText>
      </w:r>
      <w:r>
        <w:rPr>
          <w:color w:val="auto"/>
        </w:rPr>
        <w:fldChar w:fldCharType="separate"/>
      </w:r>
      <w:r>
        <w:rPr>
          <w:rFonts w:hint="eastAsia" w:ascii="楷体" w:hAnsi="楷体" w:eastAsia="楷体" w:cs="楷体"/>
          <w:color w:val="auto"/>
          <w:sz w:val="30"/>
          <w:szCs w:val="30"/>
        </w:rPr>
        <w:t>第五节 深化教育督导体制机制改革</w:t>
      </w:r>
      <w:r>
        <w:rPr>
          <w:color w:val="auto"/>
        </w:rPr>
        <w:tab/>
      </w:r>
      <w:bookmarkStart w:id="8" w:name="_Toc144303499_WPSOffice_Level2Page"/>
      <w:r>
        <w:rPr>
          <w:color w:val="auto"/>
          <w:sz w:val="30"/>
          <w:szCs w:val="30"/>
        </w:rPr>
        <w:t>4</w:t>
      </w:r>
      <w:bookmarkEnd w:id="8"/>
      <w:r>
        <w:rPr>
          <w:color w:val="auto"/>
          <w:sz w:val="30"/>
          <w:szCs w:val="30"/>
        </w:rPr>
        <w:fldChar w:fldCharType="end"/>
      </w:r>
      <w:r>
        <w:rPr>
          <w:rFonts w:hint="eastAsia"/>
          <w:color w:val="auto"/>
          <w:sz w:val="30"/>
          <w:szCs w:val="30"/>
          <w:lang w:val="en-US" w:eastAsia="zh-CN"/>
        </w:rPr>
        <w:t>7</w:t>
      </w:r>
    </w:p>
    <w:p>
      <w:pPr>
        <w:pStyle w:val="14"/>
        <w:tabs>
          <w:tab w:val="right" w:leader="dot" w:pos="8844"/>
        </w:tabs>
        <w:ind w:left="420"/>
        <w:rPr>
          <w:rFonts w:hint="eastAsia" w:eastAsia="宋体"/>
          <w:color w:val="auto"/>
          <w:lang w:val="en-US" w:eastAsia="zh-CN"/>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1186270441_WPSOffice_Level2" </w:instrText>
      </w:r>
      <w:r>
        <w:rPr>
          <w:color w:val="auto"/>
        </w:rPr>
        <w:fldChar w:fldCharType="separate"/>
      </w:r>
      <w:r>
        <w:rPr>
          <w:rFonts w:hint="eastAsia" w:ascii="楷体" w:hAnsi="楷体" w:eastAsia="楷体" w:cs="楷体"/>
          <w:color w:val="auto"/>
          <w:sz w:val="30"/>
          <w:szCs w:val="30"/>
        </w:rPr>
        <w:t>第六节 深化教师管理体制机制改革</w:t>
      </w:r>
      <w:r>
        <w:rPr>
          <w:color w:val="auto"/>
        </w:rPr>
        <w:tab/>
      </w:r>
      <w:r>
        <w:rPr>
          <w:rFonts w:hint="eastAsia"/>
          <w:color w:val="auto"/>
          <w:sz w:val="30"/>
          <w:szCs w:val="30"/>
          <w:lang w:val="en-US" w:eastAsia="zh-CN"/>
        </w:rPr>
        <w:t>4</w:t>
      </w:r>
      <w:r>
        <w:rPr>
          <w:color w:val="auto"/>
          <w:sz w:val="30"/>
          <w:szCs w:val="30"/>
        </w:rPr>
        <w:fldChar w:fldCharType="end"/>
      </w:r>
      <w:r>
        <w:rPr>
          <w:rFonts w:hint="eastAsia"/>
          <w:color w:val="auto"/>
          <w:sz w:val="30"/>
          <w:szCs w:val="30"/>
          <w:lang w:val="en-US" w:eastAsia="zh-CN"/>
        </w:rPr>
        <w:t>8</w:t>
      </w:r>
    </w:p>
    <w:p>
      <w:pPr>
        <w:pStyle w:val="14"/>
        <w:tabs>
          <w:tab w:val="right" w:leader="dot" w:pos="8844"/>
        </w:tabs>
        <w:ind w:left="420"/>
        <w:rPr>
          <w:color w:val="auto"/>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853086473_WPSOffice_Level2" </w:instrText>
      </w:r>
      <w:r>
        <w:rPr>
          <w:color w:val="auto"/>
        </w:rPr>
        <w:fldChar w:fldCharType="separate"/>
      </w:r>
      <w:r>
        <w:rPr>
          <w:rFonts w:hint="eastAsia" w:ascii="楷体" w:hAnsi="楷体" w:eastAsia="楷体" w:cs="楷体"/>
          <w:color w:val="auto"/>
          <w:sz w:val="30"/>
          <w:szCs w:val="30"/>
        </w:rPr>
        <w:t>第七节 深化教育对外开放合作</w:t>
      </w:r>
      <w:r>
        <w:rPr>
          <w:color w:val="auto"/>
        </w:rPr>
        <w:tab/>
      </w:r>
      <w:r>
        <w:rPr>
          <w:color w:val="auto"/>
          <w:sz w:val="30"/>
          <w:szCs w:val="30"/>
        </w:rPr>
        <w:fldChar w:fldCharType="end"/>
      </w:r>
      <w:r>
        <w:rPr>
          <w:rFonts w:hint="eastAsia"/>
          <w:color w:val="auto"/>
          <w:sz w:val="30"/>
          <w:szCs w:val="30"/>
          <w:lang w:val="en-US" w:eastAsia="zh-CN"/>
        </w:rPr>
        <w:t>50</w:t>
      </w:r>
    </w:p>
    <w:p>
      <w:pPr>
        <w:pStyle w:val="13"/>
        <w:tabs>
          <w:tab w:val="right" w:leader="dot" w:pos="8844"/>
        </w:tabs>
        <w:rPr>
          <w:rFonts w:hint="eastAsia" w:eastAsia="宋体"/>
          <w:color w:val="auto"/>
          <w:lang w:val="en-US" w:eastAsia="zh-CN"/>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1834232943_WPSOffice_Level1" </w:instrText>
      </w:r>
      <w:r>
        <w:rPr>
          <w:color w:val="auto"/>
        </w:rPr>
        <w:fldChar w:fldCharType="separate"/>
      </w:r>
      <w:r>
        <w:rPr>
          <w:rFonts w:hint="eastAsia" w:ascii="方正小标宋简体" w:hAnsi="方正小标宋简体" w:eastAsia="方正小标宋简体" w:cs="方正小标宋简体"/>
          <w:color w:val="auto"/>
          <w:sz w:val="30"/>
          <w:szCs w:val="30"/>
        </w:rPr>
        <w:t>第六章 加强党的领导，压实责任强化保障</w:t>
      </w:r>
      <w:r>
        <w:rPr>
          <w:color w:val="auto"/>
        </w:rPr>
        <w:tab/>
      </w:r>
      <w:r>
        <w:rPr>
          <w:rFonts w:hint="eastAsia"/>
          <w:color w:val="auto"/>
          <w:sz w:val="30"/>
          <w:szCs w:val="30"/>
          <w:lang w:val="en-US" w:eastAsia="zh-CN"/>
        </w:rPr>
        <w:t>5</w:t>
      </w:r>
      <w:r>
        <w:rPr>
          <w:color w:val="auto"/>
          <w:sz w:val="30"/>
          <w:szCs w:val="30"/>
        </w:rPr>
        <w:fldChar w:fldCharType="end"/>
      </w:r>
      <w:r>
        <w:rPr>
          <w:rFonts w:hint="eastAsia"/>
          <w:color w:val="auto"/>
          <w:sz w:val="30"/>
          <w:szCs w:val="30"/>
          <w:lang w:val="en-US" w:eastAsia="zh-CN"/>
        </w:rPr>
        <w:t>2</w:t>
      </w:r>
    </w:p>
    <w:p>
      <w:pPr>
        <w:pStyle w:val="14"/>
        <w:tabs>
          <w:tab w:val="right" w:leader="dot" w:pos="8844"/>
        </w:tabs>
        <w:ind w:left="420"/>
        <w:rPr>
          <w:rFonts w:hint="eastAsia" w:eastAsia="宋体"/>
          <w:color w:val="auto"/>
          <w:lang w:val="en-US" w:eastAsia="zh-CN"/>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265383221_WPSOffice_Level2" </w:instrText>
      </w:r>
      <w:r>
        <w:rPr>
          <w:color w:val="auto"/>
        </w:rPr>
        <w:fldChar w:fldCharType="separate"/>
      </w:r>
      <w:r>
        <w:rPr>
          <w:rFonts w:hint="eastAsia" w:ascii="楷体" w:hAnsi="楷体" w:eastAsia="楷体" w:cs="楷体"/>
          <w:color w:val="auto"/>
          <w:sz w:val="30"/>
          <w:szCs w:val="30"/>
        </w:rPr>
        <w:t>第一节 加强党对教育工作的全面领</w:t>
      </w:r>
      <w:r>
        <w:rPr>
          <w:rFonts w:hint="eastAsia" w:ascii="楷体" w:hAnsi="楷体" w:eastAsia="楷体" w:cs="楷体"/>
          <w:color w:val="auto"/>
          <w:sz w:val="30"/>
          <w:szCs w:val="30"/>
          <w:shd w:val="clear" w:color="auto" w:fill="auto"/>
        </w:rPr>
        <w:t>导</w:t>
      </w:r>
      <w:r>
        <w:rPr>
          <w:color w:val="auto"/>
        </w:rPr>
        <w:tab/>
      </w:r>
      <w:r>
        <w:rPr>
          <w:rFonts w:hint="eastAsia"/>
          <w:color w:val="auto"/>
          <w:sz w:val="30"/>
          <w:szCs w:val="30"/>
          <w:lang w:val="en-US" w:eastAsia="zh-CN"/>
        </w:rPr>
        <w:t>5</w:t>
      </w:r>
      <w:r>
        <w:rPr>
          <w:color w:val="auto"/>
          <w:sz w:val="30"/>
          <w:szCs w:val="30"/>
        </w:rPr>
        <w:fldChar w:fldCharType="end"/>
      </w:r>
      <w:r>
        <w:rPr>
          <w:rFonts w:hint="eastAsia"/>
          <w:color w:val="auto"/>
          <w:sz w:val="30"/>
          <w:szCs w:val="30"/>
          <w:lang w:val="en-US" w:eastAsia="zh-CN"/>
        </w:rPr>
        <w:t>2</w:t>
      </w:r>
    </w:p>
    <w:p>
      <w:pPr>
        <w:pStyle w:val="14"/>
        <w:tabs>
          <w:tab w:val="right" w:leader="dot" w:pos="8844"/>
        </w:tabs>
        <w:ind w:left="420"/>
        <w:rPr>
          <w:rFonts w:hint="default" w:eastAsia="宋体"/>
          <w:color w:val="auto"/>
          <w:lang w:val="en-US" w:eastAsia="zh-CN"/>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1273865165_WPSOffice_Level2" </w:instrText>
      </w:r>
      <w:r>
        <w:rPr>
          <w:color w:val="auto"/>
        </w:rPr>
        <w:fldChar w:fldCharType="separate"/>
      </w:r>
      <w:r>
        <w:rPr>
          <w:rFonts w:hint="eastAsia" w:ascii="楷体" w:hAnsi="楷体" w:eastAsia="楷体" w:cs="楷体"/>
          <w:color w:val="auto"/>
          <w:sz w:val="30"/>
          <w:szCs w:val="30"/>
        </w:rPr>
        <w:t>第二节 强化保障推动规划落地见效</w:t>
      </w:r>
      <w:r>
        <w:rPr>
          <w:color w:val="auto"/>
        </w:rPr>
        <w:tab/>
      </w:r>
      <w:r>
        <w:rPr>
          <w:rFonts w:hint="eastAsia"/>
          <w:color w:val="auto"/>
          <w:sz w:val="30"/>
          <w:szCs w:val="30"/>
          <w:lang w:val="en-US" w:eastAsia="zh-CN"/>
        </w:rPr>
        <w:t>5</w:t>
      </w:r>
      <w:r>
        <w:rPr>
          <w:color w:val="auto"/>
          <w:sz w:val="30"/>
          <w:szCs w:val="30"/>
        </w:rPr>
        <w:fldChar w:fldCharType="end"/>
      </w:r>
      <w:r>
        <w:rPr>
          <w:rFonts w:hint="eastAsia"/>
          <w:color w:val="auto"/>
          <w:sz w:val="30"/>
          <w:szCs w:val="30"/>
          <w:lang w:val="en-US" w:eastAsia="zh-CN"/>
        </w:rPr>
        <w:t>3</w:t>
      </w:r>
    </w:p>
    <w:p>
      <w:pPr>
        <w:pStyle w:val="13"/>
        <w:tabs>
          <w:tab w:val="right" w:leader="dot" w:pos="8844"/>
        </w:tabs>
        <w:rPr>
          <w:color w:val="auto"/>
        </w:rPr>
      </w:pPr>
      <w:r>
        <w:rPr>
          <w:rFonts w:hint="eastAsia" w:ascii="方正小标宋简体" w:hAnsi="方正小标宋简体" w:eastAsia="方正小标宋简体" w:cs="方正小标宋简体"/>
          <w:color w:val="auto"/>
          <w:sz w:val="30"/>
          <w:szCs w:val="30"/>
        </w:rPr>
        <w:t>附件1</w:t>
      </w: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436618750_WPSOffice_Level1" </w:instrText>
      </w:r>
      <w:r>
        <w:rPr>
          <w:color w:val="auto"/>
        </w:rPr>
        <w:fldChar w:fldCharType="separate"/>
      </w:r>
      <w:r>
        <w:rPr>
          <w:rFonts w:hint="eastAsia" w:ascii="方正小标宋简体" w:hAnsi="方正小标宋简体" w:eastAsia="方正小标宋简体" w:cs="方正小标宋简体"/>
          <w:color w:val="auto"/>
          <w:sz w:val="30"/>
          <w:szCs w:val="30"/>
        </w:rPr>
        <w:t xml:space="preserve"> 茂名市教育发展“十四五”期间实施的十大工程</w:t>
      </w:r>
      <w:r>
        <w:rPr>
          <w:rFonts w:hint="eastAsia"/>
          <w:color w:val="auto"/>
        </w:rPr>
        <w:tab/>
      </w:r>
      <w:bookmarkStart w:id="9" w:name="_Toc436618750_WPSOffice_Level1Page"/>
      <w:r>
        <w:rPr>
          <w:rFonts w:hint="eastAsia"/>
          <w:color w:val="auto"/>
          <w:sz w:val="30"/>
          <w:szCs w:val="30"/>
        </w:rPr>
        <w:t>5</w:t>
      </w:r>
      <w:bookmarkEnd w:id="9"/>
      <w:r>
        <w:rPr>
          <w:rFonts w:hint="eastAsia"/>
          <w:color w:val="auto"/>
          <w:sz w:val="30"/>
          <w:szCs w:val="30"/>
        </w:rPr>
        <w:fldChar w:fldCharType="end"/>
      </w:r>
      <w:r>
        <w:rPr>
          <w:rFonts w:hint="eastAsia"/>
          <w:color w:val="auto"/>
          <w:sz w:val="30"/>
          <w:szCs w:val="30"/>
          <w:lang w:val="en-US" w:eastAsia="zh-CN"/>
        </w:rPr>
        <w:t>7</w:t>
      </w:r>
    </w:p>
    <w:p>
      <w:pPr>
        <w:pStyle w:val="13"/>
        <w:tabs>
          <w:tab w:val="right" w:leader="dot" w:pos="8844"/>
        </w:tabs>
        <w:rPr>
          <w:color w:val="auto"/>
        </w:rPr>
      </w:pPr>
      <w:r>
        <w:rPr>
          <w:rFonts w:hint="eastAsia" w:ascii="方正小标宋简体" w:hAnsi="方正小标宋简体" w:eastAsia="方正小标宋简体" w:cs="方正小标宋简体"/>
          <w:color w:val="auto"/>
          <w:sz w:val="30"/>
          <w:szCs w:val="30"/>
        </w:rPr>
        <w:t>附件2</w:t>
      </w: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855879986_WPSOffice_Level1" </w:instrText>
      </w:r>
      <w:r>
        <w:rPr>
          <w:color w:val="auto"/>
        </w:rPr>
        <w:fldChar w:fldCharType="separate"/>
      </w:r>
      <w:r>
        <w:rPr>
          <w:rFonts w:hint="eastAsia" w:ascii="方正小标宋简体" w:hAnsi="方正小标宋简体" w:eastAsia="方正小标宋简体" w:cs="方正小标宋简体"/>
          <w:color w:val="auto"/>
          <w:sz w:val="30"/>
          <w:szCs w:val="30"/>
        </w:rPr>
        <w:t xml:space="preserve"> 茂名市教育发展“十四五”规划建设项目汇总表</w:t>
      </w:r>
      <w:r>
        <w:rPr>
          <w:rFonts w:hint="eastAsia"/>
          <w:color w:val="auto"/>
        </w:rPr>
        <w:tab/>
      </w:r>
      <w:bookmarkStart w:id="10" w:name="_Toc855879986_WPSOffice_Level1Page"/>
      <w:r>
        <w:rPr>
          <w:rFonts w:hint="eastAsia"/>
          <w:color w:val="auto"/>
          <w:sz w:val="30"/>
          <w:szCs w:val="30"/>
        </w:rPr>
        <w:t>5</w:t>
      </w:r>
      <w:bookmarkEnd w:id="10"/>
      <w:r>
        <w:rPr>
          <w:rFonts w:hint="eastAsia"/>
          <w:color w:val="auto"/>
          <w:sz w:val="30"/>
          <w:szCs w:val="30"/>
        </w:rPr>
        <w:fldChar w:fldCharType="end"/>
      </w:r>
      <w:r>
        <w:rPr>
          <w:rFonts w:hint="eastAsia"/>
          <w:color w:val="auto"/>
          <w:sz w:val="30"/>
          <w:szCs w:val="30"/>
          <w:lang w:val="en-US" w:eastAsia="zh-CN"/>
        </w:rPr>
        <w:t>9</w:t>
      </w:r>
    </w:p>
    <w:p>
      <w:pPr>
        <w:pStyle w:val="13"/>
        <w:tabs>
          <w:tab w:val="right" w:leader="dot" w:pos="8844"/>
        </w:tabs>
        <w:rPr>
          <w:rFonts w:hint="eastAsia" w:eastAsia="宋体"/>
          <w:color w:val="auto"/>
          <w:lang w:val="en-US" w:eastAsia="zh-CN"/>
        </w:rPr>
      </w:pP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763790997_WPSOffice_Level1" </w:instrText>
      </w:r>
      <w:r>
        <w:rPr>
          <w:color w:val="auto"/>
        </w:rPr>
        <w:fldChar w:fldCharType="separate"/>
      </w:r>
      <w:r>
        <w:rPr>
          <w:color w:val="auto"/>
        </w:rPr>
        <w:fldChar w:fldCharType="end"/>
      </w:r>
      <w:r>
        <w:rPr>
          <w:color w:val="auto"/>
        </w:rPr>
        <w:fldChar w:fldCharType="begin"/>
      </w:r>
      <w:r>
        <w:rPr>
          <w:color w:val="auto"/>
        </w:rPr>
        <w:instrText xml:space="preserve"> HYPERLINK \l "_</w:instrText>
      </w:r>
      <w:r>
        <w:rPr>
          <w:color w:val="auto"/>
          <w:shd w:val="clear" w:color="auto" w:fill="auto"/>
        </w:rPr>
        <w:instrText xml:space="preserve">Toc</w:instrText>
      </w:r>
      <w:r>
        <w:rPr>
          <w:color w:val="auto"/>
        </w:rPr>
        <w:instrText xml:space="preserve">2085872357_WPSOffice_Level1" </w:instrText>
      </w:r>
      <w:r>
        <w:rPr>
          <w:color w:val="auto"/>
        </w:rPr>
        <w:fldChar w:fldCharType="separate"/>
      </w:r>
      <w:r>
        <w:rPr>
          <w:rFonts w:hint="eastAsia" w:ascii="方正小标宋简体" w:hAnsi="方正小标宋简体" w:eastAsia="方正小标宋简体" w:cs="方正小标宋简体"/>
          <w:color w:val="auto"/>
          <w:sz w:val="30"/>
          <w:szCs w:val="30"/>
        </w:rPr>
        <w:t>附件3 “十四五”期间基础教育公办学位建设任务</w:t>
      </w:r>
      <w:r>
        <w:rPr>
          <w:rFonts w:hint="eastAsia" w:ascii="方正小标宋简体" w:hAnsi="方正小标宋简体" w:eastAsia="方正小标宋简体" w:cs="方正小标宋简体"/>
          <w:color w:val="auto"/>
          <w:sz w:val="30"/>
          <w:szCs w:val="30"/>
          <w:shd w:val="clear" w:color="auto" w:fill="auto"/>
        </w:rPr>
        <w:t>表</w:t>
      </w:r>
      <w:r>
        <w:rPr>
          <w:color w:val="auto"/>
        </w:rPr>
        <w:tab/>
      </w:r>
      <w:r>
        <w:rPr>
          <w:rFonts w:hint="eastAsia"/>
          <w:color w:val="auto"/>
          <w:sz w:val="30"/>
          <w:szCs w:val="30"/>
          <w:lang w:val="en-US" w:eastAsia="zh-CN"/>
        </w:rPr>
        <w:t>6</w:t>
      </w:r>
      <w:r>
        <w:rPr>
          <w:color w:val="auto"/>
          <w:sz w:val="30"/>
          <w:szCs w:val="30"/>
        </w:rPr>
        <w:fldChar w:fldCharType="end"/>
      </w:r>
      <w:bookmarkEnd w:id="0"/>
      <w:r>
        <w:rPr>
          <w:rFonts w:hint="eastAsia"/>
          <w:color w:val="auto"/>
          <w:sz w:val="30"/>
          <w:szCs w:val="30"/>
          <w:lang w:val="en-US" w:eastAsia="zh-CN"/>
        </w:rPr>
        <w:t>6</w:t>
      </w:r>
    </w:p>
    <w:p>
      <w:pPr>
        <w:adjustRightInd w:val="0"/>
        <w:snapToGrid w:val="0"/>
        <w:spacing w:before="156" w:beforeLines="50" w:after="156" w:afterLines="50" w:line="560" w:lineRule="exact"/>
        <w:ind w:firstLine="720" w:firstLineChars="200"/>
        <w:jc w:val="center"/>
        <w:outlineLvl w:val="0"/>
        <w:rPr>
          <w:rFonts w:ascii="Times New Roman" w:hAnsi="Times New Roman" w:eastAsia="方正小标宋简体" w:cs="Times New Roman"/>
          <w:bCs/>
          <w:color w:val="auto"/>
          <w:kern w:val="0"/>
          <w:sz w:val="36"/>
          <w:szCs w:val="36"/>
        </w:rPr>
      </w:pPr>
    </w:p>
    <w:p>
      <w:pPr>
        <w:adjustRightInd w:val="0"/>
        <w:snapToGrid w:val="0"/>
        <w:spacing w:before="156" w:beforeLines="50" w:after="156" w:afterLines="50" w:line="560" w:lineRule="exact"/>
        <w:ind w:firstLine="720" w:firstLineChars="200"/>
        <w:jc w:val="center"/>
        <w:outlineLvl w:val="0"/>
        <w:rPr>
          <w:rFonts w:ascii="Times New Roman" w:hAnsi="Times New Roman" w:eastAsia="方正小标宋简体" w:cs="Times New Roman"/>
          <w:bCs/>
          <w:color w:val="auto"/>
          <w:kern w:val="0"/>
          <w:sz w:val="36"/>
          <w:szCs w:val="36"/>
        </w:rPr>
      </w:pPr>
    </w:p>
    <w:p>
      <w:pPr>
        <w:adjustRightInd w:val="0"/>
        <w:snapToGrid w:val="0"/>
        <w:spacing w:before="156" w:beforeLines="50" w:after="156" w:afterLines="50" w:line="560" w:lineRule="exact"/>
        <w:ind w:firstLine="720" w:firstLineChars="200"/>
        <w:jc w:val="center"/>
        <w:outlineLvl w:val="0"/>
        <w:rPr>
          <w:rFonts w:ascii="Times New Roman" w:hAnsi="Times New Roman" w:eastAsia="方正小标宋简体" w:cs="Times New Roman"/>
          <w:bCs/>
          <w:color w:val="auto"/>
          <w:kern w:val="0"/>
          <w:sz w:val="36"/>
          <w:szCs w:val="36"/>
        </w:rPr>
        <w:sectPr>
          <w:headerReference r:id="rId5" w:type="first"/>
          <w:footerReference r:id="rId7" w:type="first"/>
          <w:headerReference r:id="rId4" w:type="default"/>
          <w:footerReference r:id="rId6" w:type="default"/>
          <w:pgSz w:w="11906" w:h="16838"/>
          <w:pgMar w:top="1927" w:right="1304" w:bottom="1531" w:left="1531" w:header="851" w:footer="1417" w:gutter="0"/>
          <w:pgBorders>
            <w:top w:val="none" w:sz="0" w:space="0"/>
            <w:left w:val="none" w:sz="0" w:space="0"/>
            <w:bottom w:val="none" w:sz="0" w:space="0"/>
            <w:right w:val="none" w:sz="0" w:space="0"/>
          </w:pgBorders>
          <w:pgNumType w:fmt="numberInDash" w:start="1"/>
          <w:cols w:space="720" w:num="1"/>
          <w:titlePg/>
          <w:docGrid w:type="lines" w:linePitch="579" w:charSpace="0"/>
        </w:sectPr>
      </w:pPr>
    </w:p>
    <w:p>
      <w:pPr>
        <w:sectPr>
          <w:footerReference r:id="rId9" w:type="first"/>
          <w:footerReference r:id="rId8" w:type="default"/>
          <w:pgSz w:w="11906" w:h="16838"/>
          <w:pgMar w:top="1927" w:right="1304" w:bottom="1531" w:left="1531" w:header="851" w:footer="1417" w:gutter="0"/>
          <w:pgBorders>
            <w:top w:val="none" w:sz="0" w:space="0"/>
            <w:left w:val="none" w:sz="0" w:space="0"/>
            <w:bottom w:val="none" w:sz="0" w:space="0"/>
            <w:right w:val="none" w:sz="0" w:space="0"/>
          </w:pgBorders>
          <w:pgNumType w:fmt="numberInDash" w:start="1"/>
          <w:cols w:space="720" w:num="1"/>
          <w:titlePg/>
          <w:docGrid w:type="lines" w:linePitch="579" w:charSpace="0"/>
        </w:sectPr>
      </w:pPr>
    </w:p>
    <w:p>
      <w:pPr>
        <w:pStyle w:val="3"/>
        <w:adjustRightInd w:val="0"/>
        <w:snapToGrid w:val="0"/>
        <w:spacing w:before="156" w:beforeLines="50" w:after="156" w:afterLines="50" w:line="580" w:lineRule="exact"/>
        <w:jc w:val="center"/>
        <w:rPr>
          <w:rFonts w:ascii="方正小标宋简体" w:hAnsi="方正小标宋简体" w:eastAsia="方正小标宋简体" w:cs="方正小标宋简体"/>
          <w:b w:val="0"/>
          <w:bCs w:val="0"/>
          <w:color w:val="auto"/>
          <w:kern w:val="0"/>
          <w:sz w:val="36"/>
          <w:szCs w:val="36"/>
        </w:rPr>
      </w:pPr>
      <w:bookmarkStart w:id="11" w:name="_Toc98694791"/>
      <w:bookmarkStart w:id="12" w:name="_Toc86640377_WPSOffice_Level1"/>
      <w:r>
        <w:rPr>
          <w:rFonts w:hint="eastAsia" w:ascii="方正小标宋简体" w:hAnsi="方正小标宋简体" w:eastAsia="方正小标宋简体" w:cs="方正小标宋简体"/>
          <w:b w:val="0"/>
          <w:color w:val="auto"/>
          <w:kern w:val="0"/>
          <w:sz w:val="36"/>
          <w:szCs w:val="36"/>
        </w:rPr>
        <w:t>前  言</w:t>
      </w:r>
      <w:bookmarkEnd w:id="11"/>
      <w:bookmarkEnd w:id="12"/>
    </w:p>
    <w:p>
      <w:pPr>
        <w:spacing w:line="58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“十四五”时期是我国开启全面建设社会主义现代化国家新征程的第一个五年，也是茂名乘势而上加快融入新发展格局，奋力谱写产业强市向海而</w:t>
      </w:r>
      <w:r>
        <w:rPr>
          <w:rFonts w:hint="eastAsia" w:ascii="仿宋_GB2312" w:hAnsi="仿宋_GB2312" w:eastAsia="仿宋_GB2312" w:cs="仿宋_GB2312"/>
          <w:color w:val="auto"/>
          <w:kern w:val="0"/>
          <w:sz w:val="32"/>
          <w:szCs w:val="32"/>
          <w:shd w:val="clear" w:color="auto" w:fill="auto"/>
        </w:rPr>
        <w:t>兴</w:t>
      </w:r>
      <w:r>
        <w:rPr>
          <w:rFonts w:hint="eastAsia" w:ascii="仿宋_GB2312" w:hAnsi="仿宋_GB2312" w:eastAsia="仿宋_GB2312" w:cs="仿宋_GB2312"/>
          <w:color w:val="auto"/>
          <w:kern w:val="0"/>
          <w:sz w:val="32"/>
          <w:szCs w:val="32"/>
        </w:rPr>
        <w:t>滨海绿城新篇章的关键时期。为</w:t>
      </w:r>
      <w:r>
        <w:rPr>
          <w:rFonts w:hint="eastAsia" w:ascii="仿宋_GB2312" w:hAnsi="仿宋_GB2312" w:eastAsia="仿宋_GB2312" w:cs="仿宋_GB2312"/>
          <w:color w:val="auto"/>
          <w:kern w:val="0"/>
          <w:sz w:val="32"/>
          <w:szCs w:val="32"/>
          <w:lang w:eastAsia="zh-CN"/>
        </w:rPr>
        <w:t>深入贯彻党的十九大和十九届历次全会精神，全面贯彻习近平总书记关于教育的重要论述，</w:t>
      </w:r>
      <w:r>
        <w:rPr>
          <w:rFonts w:hint="eastAsia" w:ascii="仿宋_GB2312" w:hAnsi="仿宋_GB2312" w:eastAsia="仿宋_GB2312" w:cs="仿宋_GB2312"/>
          <w:color w:val="auto"/>
          <w:kern w:val="0"/>
          <w:sz w:val="32"/>
          <w:szCs w:val="32"/>
        </w:rPr>
        <w:t>推动我市教育高质量发展，提升教育现代化水平，办好人民满意的教育，根据《国家教育事业发展“十四五”规划》《广东省教育发展“十四五”规划》《茂名市国民经济和社会发展第十四个五年规划和2035年远景目标纲要》，结合茂名教育工作实际，制定本规划。</w:t>
      </w:r>
    </w:p>
    <w:p>
      <w:pPr>
        <w:spacing w:line="580" w:lineRule="exact"/>
        <w:ind w:firstLine="640" w:firstLineChars="200"/>
        <w:rPr>
          <w:rFonts w:ascii="方正小标宋简体" w:hAnsi="方正小标宋简体" w:eastAsia="方正小标宋简体" w:cs="方正小标宋简体"/>
          <w:b w:val="0"/>
          <w:color w:val="auto"/>
          <w:kern w:val="0"/>
          <w:sz w:val="36"/>
          <w:szCs w:val="36"/>
        </w:rPr>
      </w:pPr>
      <w:r>
        <w:rPr>
          <w:rFonts w:hint="eastAsia" w:ascii="仿宋_GB2312" w:hAnsi="仿宋_GB2312" w:eastAsia="仿宋_GB2312" w:cs="仿宋_GB2312"/>
          <w:b w:val="0"/>
          <w:color w:val="auto"/>
          <w:kern w:val="0"/>
          <w:sz w:val="32"/>
          <w:szCs w:val="32"/>
        </w:rPr>
        <w:br w:type="page"/>
      </w:r>
      <w:bookmarkStart w:id="13" w:name="_Toc620443654_WPSOffice_Level1"/>
      <w:bookmarkStart w:id="14" w:name="_Toc98694792"/>
      <w:bookmarkStart w:id="15" w:name="_Toc294367124_WPSOffice_Level1"/>
      <w:r>
        <w:rPr>
          <w:rFonts w:hint="eastAsia" w:ascii="方正小标宋简体" w:hAnsi="方正小标宋简体" w:eastAsia="方正小标宋简体" w:cs="方正小标宋简体"/>
          <w:b w:val="0"/>
          <w:color w:val="auto"/>
          <w:kern w:val="0"/>
          <w:sz w:val="36"/>
          <w:szCs w:val="36"/>
        </w:rPr>
        <w:t xml:space="preserve">第一章 </w:t>
      </w:r>
      <w:bookmarkEnd w:id="13"/>
      <w:r>
        <w:rPr>
          <w:rFonts w:hint="eastAsia" w:ascii="方正小标宋简体" w:hAnsi="方正小标宋简体" w:eastAsia="方正小标宋简体" w:cs="方正小标宋简体"/>
          <w:b w:val="0"/>
          <w:color w:val="auto"/>
          <w:kern w:val="0"/>
          <w:sz w:val="36"/>
          <w:szCs w:val="36"/>
          <w:shd w:val="clear" w:color="auto" w:fill="auto"/>
        </w:rPr>
        <w:t>筑</w:t>
      </w:r>
      <w:r>
        <w:rPr>
          <w:rFonts w:hint="eastAsia" w:ascii="方正小标宋简体" w:hAnsi="方正小标宋简体" w:eastAsia="方正小标宋简体" w:cs="方正小标宋简体"/>
          <w:b w:val="0"/>
          <w:color w:val="auto"/>
          <w:kern w:val="0"/>
          <w:sz w:val="36"/>
          <w:szCs w:val="36"/>
        </w:rPr>
        <w:t>实发展基础，适应新形势新任务新要求</w:t>
      </w:r>
      <w:bookmarkEnd w:id="14"/>
      <w:bookmarkEnd w:id="15"/>
    </w:p>
    <w:p>
      <w:pPr>
        <w:spacing w:line="58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“十三五”时期，全市</w:t>
      </w:r>
      <w:bookmarkStart w:id="109" w:name="_GoBack"/>
      <w:bookmarkEnd w:id="109"/>
      <w:r>
        <w:rPr>
          <w:rFonts w:hint="eastAsia" w:ascii="仿宋_GB2312" w:hAnsi="仿宋_GB2312" w:eastAsia="仿宋_GB2312" w:cs="仿宋_GB2312"/>
          <w:color w:val="auto"/>
          <w:kern w:val="0"/>
          <w:sz w:val="32"/>
          <w:szCs w:val="32"/>
        </w:rPr>
        <w:t>各级党委、政府及教育系统坚持以习近平新时代中国特色社会主义思想为指导，全面学习贯彻习近平总书记关于教育的重要论述，坚持党的教育方针，全市教育各项工作取得新突破新进展，2016年建成省教育强市，2020年创建成为“广东省推进教育现代化先进市”。“十四五”时期，教育发展的外部环境</w:t>
      </w:r>
      <w:r>
        <w:rPr>
          <w:rFonts w:hint="eastAsia" w:ascii="仿宋_GB2312" w:hAnsi="仿宋_GB2312" w:eastAsia="仿宋_GB2312" w:cs="仿宋_GB2312"/>
          <w:color w:val="auto"/>
          <w:kern w:val="0"/>
          <w:sz w:val="32"/>
          <w:szCs w:val="32"/>
          <w:lang w:eastAsia="zh-CN"/>
        </w:rPr>
        <w:t>和内部条件面临</w:t>
      </w:r>
      <w:r>
        <w:rPr>
          <w:rFonts w:hint="eastAsia" w:ascii="仿宋_GB2312" w:hAnsi="仿宋_GB2312" w:eastAsia="仿宋_GB2312" w:cs="仿宋_GB2312"/>
          <w:color w:val="auto"/>
          <w:kern w:val="0"/>
          <w:sz w:val="32"/>
          <w:szCs w:val="32"/>
        </w:rPr>
        <w:t>复杂而深刻的重大变化，要求茂名教育必须主动适应新形势新任务新要求。</w:t>
      </w:r>
    </w:p>
    <w:p>
      <w:pPr>
        <w:pStyle w:val="4"/>
        <w:spacing w:before="156" w:beforeLines="50" w:after="156" w:afterLines="50" w:line="580" w:lineRule="exact"/>
        <w:jc w:val="center"/>
        <w:rPr>
          <w:rFonts w:ascii="黑体" w:hAnsi="黑体" w:eastAsia="黑体" w:cs="黑体"/>
          <w:b w:val="0"/>
          <w:bCs w:val="0"/>
          <w:color w:val="auto"/>
          <w:kern w:val="0"/>
        </w:rPr>
      </w:pPr>
      <w:bookmarkStart w:id="16" w:name="_Toc294367124_WPSOffice_Level2"/>
      <w:bookmarkStart w:id="17" w:name="_Toc98694793"/>
      <w:bookmarkStart w:id="18" w:name="_Toc620443654_WPSOffice_Level2"/>
      <w:r>
        <w:rPr>
          <w:rFonts w:hint="eastAsia" w:ascii="黑体" w:hAnsi="黑体" w:eastAsia="黑体" w:cs="黑体"/>
          <w:b w:val="0"/>
          <w:bCs w:val="0"/>
          <w:color w:val="auto"/>
          <w:kern w:val="0"/>
        </w:rPr>
        <w:t>第一节 发展基础</w:t>
      </w:r>
      <w:bookmarkEnd w:id="16"/>
      <w:bookmarkEnd w:id="17"/>
      <w:bookmarkEnd w:id="18"/>
    </w:p>
    <w:p>
      <w:pPr>
        <w:spacing w:line="58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三五”期间，市委成立了教育工作领导小组，切实加强党对教育工作的全面领导，召开全市教育大会，持续加大财政投入，改善办学条件，深化教育体制改革，加快推进教育现代化，完成了各项既定的主要目标任务，教育发展质量和水平稳步提升。</w:t>
      </w:r>
    </w:p>
    <w:p>
      <w:pPr>
        <w:spacing w:line="58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教育普及跃上新台阶。</w:t>
      </w:r>
      <w:r>
        <w:rPr>
          <w:rFonts w:hint="eastAsia" w:ascii="仿宋_GB2312" w:hAnsi="仿宋_GB2312" w:eastAsia="仿宋_GB2312" w:cs="仿宋_GB2312"/>
          <w:color w:val="auto"/>
          <w:kern w:val="0"/>
          <w:sz w:val="32"/>
          <w:szCs w:val="32"/>
        </w:rPr>
        <w:t>全市教育发展总量位居全省前列，全市各级各类教育毛入学（园）率保持高位增长，学前教育“5080”指标、全民受教育程度等位居全省前列，2020年我市政府履行教育职责评价考核居全省第五、</w:t>
      </w:r>
      <w:r>
        <w:rPr>
          <w:rFonts w:hint="eastAsia" w:ascii="仿宋_GB2312" w:hAnsi="仿宋_GB2312" w:eastAsia="仿宋_GB2312" w:cs="仿宋_GB2312"/>
          <w:color w:val="auto"/>
          <w:kern w:val="0"/>
          <w:sz w:val="32"/>
          <w:szCs w:val="32"/>
          <w:lang w:eastAsia="zh-CN"/>
        </w:rPr>
        <w:t>沿海经济带</w:t>
      </w:r>
      <w:r>
        <w:rPr>
          <w:rFonts w:hint="eastAsia" w:ascii="仿宋_GB2312" w:hAnsi="仿宋_GB2312" w:eastAsia="仿宋_GB2312" w:cs="仿宋_GB2312"/>
          <w:color w:val="auto"/>
          <w:kern w:val="0"/>
          <w:sz w:val="32"/>
          <w:szCs w:val="32"/>
        </w:rPr>
        <w:t>东西两翼7个地级市第一。截至2020年，全市有各级各类学校3244所，在校生173.98万人。学前教育在园幼儿34.81万人，</w:t>
      </w:r>
      <w:r>
        <w:rPr>
          <w:rFonts w:hint="eastAsia" w:ascii="仿宋_GB2312" w:hAnsi="仿宋_GB2312" w:eastAsia="仿宋_GB2312" w:cs="仿宋_GB2312"/>
          <w:color w:val="auto"/>
          <w:kern w:val="0"/>
          <w:sz w:val="32"/>
          <w:szCs w:val="32"/>
          <w:shd w:val="clear" w:color="auto" w:fill="auto"/>
        </w:rPr>
        <w:t>毛</w:t>
      </w:r>
      <w:r>
        <w:rPr>
          <w:rFonts w:hint="eastAsia" w:ascii="仿宋_GB2312" w:hAnsi="仿宋_GB2312" w:eastAsia="仿宋_GB2312" w:cs="仿宋_GB2312"/>
          <w:color w:val="auto"/>
          <w:kern w:val="0"/>
          <w:sz w:val="32"/>
          <w:szCs w:val="32"/>
        </w:rPr>
        <w:t>入园率98.53%；全市每个教育功能</w:t>
      </w:r>
      <w:r>
        <w:rPr>
          <w:rFonts w:hint="eastAsia" w:ascii="仿宋_GB2312" w:hAnsi="仿宋_GB2312" w:eastAsia="仿宋_GB2312" w:cs="仿宋_GB2312"/>
          <w:color w:val="auto"/>
          <w:kern w:val="0"/>
          <w:sz w:val="32"/>
          <w:szCs w:val="32"/>
          <w:shd w:val="clear" w:color="auto" w:fill="auto"/>
        </w:rPr>
        <w:t>镇</w:t>
      </w:r>
      <w:r>
        <w:rPr>
          <w:rFonts w:hint="eastAsia" w:ascii="仿宋_GB2312" w:hAnsi="仿宋_GB2312" w:eastAsia="仿宋_GB2312" w:cs="仿宋_GB2312"/>
          <w:color w:val="auto"/>
          <w:kern w:val="0"/>
          <w:sz w:val="32"/>
          <w:szCs w:val="32"/>
        </w:rPr>
        <w:t>均建成1所以上规范化乡镇中心幼儿园，行政村</w:t>
      </w:r>
      <w:r>
        <w:rPr>
          <w:rFonts w:hint="eastAsia" w:ascii="仿宋_GB2312" w:hAnsi="仿宋_GB2312" w:eastAsia="仿宋_GB2312" w:cs="仿宋_GB2312"/>
          <w:color w:val="auto"/>
          <w:kern w:val="0"/>
          <w:sz w:val="32"/>
          <w:szCs w:val="32"/>
          <w:lang w:eastAsia="zh-CN"/>
        </w:rPr>
        <w:t>均</w:t>
      </w:r>
      <w:r>
        <w:rPr>
          <w:rFonts w:hint="eastAsia" w:ascii="仿宋_GB2312" w:hAnsi="仿宋_GB2312" w:eastAsia="仿宋_GB2312" w:cs="仿宋_GB2312"/>
          <w:color w:val="auto"/>
          <w:kern w:val="0"/>
          <w:sz w:val="32"/>
          <w:szCs w:val="32"/>
        </w:rPr>
        <w:t>建有村级幼儿园或小学附设幼儿班；公办幼儿园在园幼儿占比达50.9%，</w:t>
      </w:r>
      <w:r>
        <w:rPr>
          <w:rFonts w:hint="eastAsia" w:ascii="仿宋_GB2312" w:hAnsi="仿宋_GB2312" w:eastAsia="仿宋_GB2312" w:cs="仿宋_GB2312"/>
          <w:color w:val="auto"/>
          <w:kern w:val="0"/>
          <w:sz w:val="32"/>
          <w:szCs w:val="32"/>
          <w:shd w:val="clear" w:color="auto" w:fill="auto"/>
        </w:rPr>
        <w:t>排</w:t>
      </w:r>
      <w:r>
        <w:rPr>
          <w:rFonts w:hint="eastAsia" w:ascii="仿宋_GB2312" w:hAnsi="仿宋_GB2312" w:eastAsia="仿宋_GB2312" w:cs="仿宋_GB2312"/>
          <w:color w:val="auto"/>
          <w:kern w:val="0"/>
          <w:sz w:val="32"/>
          <w:szCs w:val="32"/>
        </w:rPr>
        <w:t>全省第七位；公办幼儿园和普惠性民办幼儿园在园幼儿占比达91.17%，排全省第二位。义务教育阶段在校生99.13万人，其中小学70.32万人，初中28.81万人，九年义务教育巩固率达97.14%。高中阶段在校生25.36万人，毛入学率连续多年稳定在95.3%以上。各</w:t>
      </w:r>
      <w:r>
        <w:rPr>
          <w:rFonts w:hint="eastAsia" w:ascii="仿宋_GB2312" w:hAnsi="仿宋_GB2312" w:eastAsia="仿宋_GB2312" w:cs="仿宋_GB2312"/>
          <w:color w:val="auto"/>
          <w:kern w:val="0"/>
          <w:sz w:val="32"/>
          <w:szCs w:val="32"/>
          <w:lang w:eastAsia="zh-CN"/>
        </w:rPr>
        <w:t>区、县级市</w:t>
      </w:r>
      <w:r>
        <w:rPr>
          <w:rFonts w:hint="eastAsia" w:ascii="仿宋_GB2312" w:hAnsi="仿宋_GB2312" w:eastAsia="仿宋_GB2312" w:cs="仿宋_GB2312"/>
          <w:color w:val="auto"/>
          <w:kern w:val="0"/>
          <w:sz w:val="32"/>
          <w:szCs w:val="32"/>
        </w:rPr>
        <w:t>建有1所特殊教育学校，特殊教育学生5707人。教育公平不断推进，解决了3.75万随迁子女义务教育问题；适龄残疾儿童义务教育入学率达98.48%。</w:t>
      </w:r>
    </w:p>
    <w:p>
      <w:pPr>
        <w:spacing w:line="58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高等教育实现新跃升。</w:t>
      </w:r>
      <w:r>
        <w:rPr>
          <w:rFonts w:hint="eastAsia" w:ascii="仿宋_GB2312" w:hAnsi="仿宋_GB2312" w:eastAsia="仿宋_GB2312" w:cs="仿宋_GB2312"/>
          <w:color w:val="auto"/>
          <w:kern w:val="0"/>
          <w:sz w:val="32"/>
          <w:szCs w:val="32"/>
        </w:rPr>
        <w:t>先后投入46亿多元，新建广东茂名健康职业学院、广东茂名幼儿师范专科学校和广东茂名农林科技职业学院，引进广州科技职业技术大学，形成从“一本一专”跨越式发展到“两本</w:t>
      </w:r>
      <w:r>
        <w:rPr>
          <w:rFonts w:hint="eastAsia" w:ascii="仿宋_GB2312" w:hAnsi="仿宋_GB2312" w:eastAsia="仿宋_GB2312" w:cs="仿宋_GB2312"/>
          <w:color w:val="auto"/>
          <w:kern w:val="0"/>
          <w:sz w:val="32"/>
          <w:szCs w:val="32"/>
          <w:shd w:val="clear" w:color="auto" w:fill="auto"/>
        </w:rPr>
        <w:t>四专</w:t>
      </w:r>
      <w:r>
        <w:rPr>
          <w:rFonts w:hint="eastAsia" w:ascii="仿宋_GB2312" w:hAnsi="仿宋_GB2312" w:eastAsia="仿宋_GB2312" w:cs="仿宋_GB2312"/>
          <w:color w:val="auto"/>
          <w:kern w:val="0"/>
          <w:sz w:val="32"/>
          <w:szCs w:val="32"/>
        </w:rPr>
        <w:t>”的高等教育新格局。“十三五”末期，我市高等院校在校生</w:t>
      </w:r>
      <w:r>
        <w:rPr>
          <w:rFonts w:hint="eastAsia" w:ascii="仿宋_GB2312" w:hAnsi="仿宋_GB2312" w:eastAsia="仿宋_GB2312" w:cs="仿宋_GB2312"/>
          <w:color w:val="auto"/>
          <w:kern w:val="0"/>
          <w:sz w:val="32"/>
          <w:szCs w:val="32"/>
          <w:lang w:val="en-US" w:eastAsia="zh-CN"/>
        </w:rPr>
        <w:t>7.5</w:t>
      </w:r>
      <w:r>
        <w:rPr>
          <w:rFonts w:hint="eastAsia" w:ascii="仿宋_GB2312" w:hAnsi="仿宋_GB2312" w:eastAsia="仿宋_GB2312" w:cs="仿宋_GB2312"/>
          <w:color w:val="auto"/>
          <w:kern w:val="0"/>
          <w:sz w:val="32"/>
          <w:szCs w:val="32"/>
        </w:rPr>
        <w:t>万人，校园面积达6131亩，高等教育</w:t>
      </w:r>
      <w:r>
        <w:rPr>
          <w:rFonts w:hint="eastAsia" w:ascii="仿宋_GB2312" w:hAnsi="仿宋_GB2312" w:eastAsia="仿宋_GB2312" w:cs="仿宋_GB2312"/>
          <w:color w:val="auto"/>
          <w:kern w:val="0"/>
          <w:sz w:val="32"/>
          <w:szCs w:val="32"/>
          <w:lang w:eastAsia="zh-CN"/>
        </w:rPr>
        <w:t>呈现</w:t>
      </w:r>
      <w:r>
        <w:rPr>
          <w:rFonts w:hint="eastAsia" w:ascii="仿宋_GB2312" w:hAnsi="仿宋_GB2312" w:eastAsia="仿宋_GB2312" w:cs="仿宋_GB2312"/>
          <w:color w:val="auto"/>
          <w:kern w:val="0"/>
          <w:sz w:val="32"/>
          <w:szCs w:val="32"/>
        </w:rPr>
        <w:t>由小到大、由弱向强的良好发展态势。</w:t>
      </w:r>
    </w:p>
    <w:p>
      <w:pPr>
        <w:spacing w:line="58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职业教育取得新进展。</w:t>
      </w:r>
      <w:r>
        <w:rPr>
          <w:rFonts w:hint="eastAsia" w:ascii="仿宋_GB2312" w:hAnsi="仿宋_GB2312" w:eastAsia="仿宋_GB2312" w:cs="仿宋_GB2312"/>
          <w:color w:val="auto"/>
          <w:kern w:val="0"/>
          <w:sz w:val="32"/>
          <w:szCs w:val="32"/>
        </w:rPr>
        <w:t>推进教育育人模式改革，首创职业教育</w:t>
      </w:r>
      <w:r>
        <w:rPr>
          <w:rFonts w:hint="eastAsia" w:ascii="仿宋_GB2312" w:hAnsi="仿宋_GB2312" w:eastAsia="仿宋_GB2312" w:cs="仿宋_GB2312"/>
          <w:color w:val="auto"/>
          <w:kern w:val="0"/>
          <w:sz w:val="32"/>
          <w:szCs w:val="32"/>
          <w:shd w:val="clear" w:color="auto" w:fill="auto"/>
        </w:rPr>
        <w:t>铸魂</w:t>
      </w:r>
      <w:r>
        <w:rPr>
          <w:rFonts w:hint="eastAsia" w:ascii="仿宋_GB2312" w:hAnsi="仿宋_GB2312" w:eastAsia="仿宋_GB2312" w:cs="仿宋_GB2312"/>
          <w:color w:val="auto"/>
          <w:kern w:val="0"/>
          <w:sz w:val="32"/>
          <w:szCs w:val="32"/>
        </w:rPr>
        <w:t>、厚德、精艺、严</w:t>
      </w:r>
      <w:r>
        <w:rPr>
          <w:rFonts w:hint="eastAsia" w:ascii="仿宋_GB2312" w:hAnsi="仿宋_GB2312" w:eastAsia="仿宋_GB2312" w:cs="仿宋_GB2312"/>
          <w:color w:val="auto"/>
          <w:kern w:val="0"/>
          <w:sz w:val="32"/>
          <w:szCs w:val="32"/>
          <w:shd w:val="clear" w:color="auto" w:fill="auto"/>
        </w:rPr>
        <w:t>纪</w:t>
      </w:r>
      <w:r>
        <w:rPr>
          <w:rFonts w:hint="eastAsia" w:ascii="仿宋_GB2312" w:hAnsi="仿宋_GB2312" w:eastAsia="仿宋_GB2312" w:cs="仿宋_GB2312"/>
          <w:color w:val="auto"/>
          <w:kern w:val="0"/>
          <w:sz w:val="32"/>
          <w:szCs w:val="32"/>
        </w:rPr>
        <w:t>“四位一体”育人模式，编写“四位一体”育人模式德育教材。信宜、高州、化州三个县级市先后成为创建国家级农村职业教育和成人教育示范县。</w:t>
      </w:r>
      <w:r>
        <w:rPr>
          <w:rFonts w:hint="eastAsia" w:ascii="仿宋_GB2312" w:hAnsi="仿宋_GB2312" w:eastAsia="仿宋_GB2312" w:cs="仿宋_GB2312"/>
          <w:color w:val="auto"/>
          <w:kern w:val="0"/>
          <w:sz w:val="32"/>
          <w:szCs w:val="32"/>
          <w:lang w:eastAsia="zh-CN"/>
        </w:rPr>
        <w:t>到</w:t>
      </w:r>
      <w:r>
        <w:rPr>
          <w:rFonts w:hint="eastAsia" w:ascii="仿宋_GB2312" w:hAnsi="仿宋_GB2312" w:eastAsia="仿宋_GB2312" w:cs="仿宋_GB2312"/>
          <w:color w:val="auto"/>
          <w:kern w:val="0"/>
          <w:sz w:val="32"/>
          <w:szCs w:val="32"/>
          <w:lang w:val="en-US" w:eastAsia="zh-CN"/>
        </w:rPr>
        <w:t>2020年</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茂名市是全省“创建国家级农村职业教育和成人教育示范县”最多的地级市，</w:t>
      </w:r>
      <w:r>
        <w:rPr>
          <w:rFonts w:hint="eastAsia" w:ascii="仿宋_GB2312" w:hAnsi="仿宋_GB2312" w:eastAsia="仿宋_GB2312" w:cs="仿宋_GB2312"/>
          <w:color w:val="auto"/>
          <w:kern w:val="0"/>
          <w:sz w:val="32"/>
          <w:szCs w:val="32"/>
          <w:lang w:val="en-US" w:eastAsia="zh-CN"/>
        </w:rPr>
        <w:t>2019年成为</w:t>
      </w:r>
      <w:r>
        <w:rPr>
          <w:rFonts w:hint="eastAsia" w:ascii="仿宋_GB2312" w:hAnsi="仿宋_GB2312" w:eastAsia="仿宋_GB2312" w:cs="仿宋_GB2312"/>
          <w:color w:val="auto"/>
          <w:kern w:val="0"/>
          <w:sz w:val="32"/>
          <w:szCs w:val="32"/>
        </w:rPr>
        <w:t>省首批现代职业教育综合改革示范市。</w:t>
      </w:r>
    </w:p>
    <w:p>
      <w:pPr>
        <w:spacing w:line="58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教师素质实现新提升。</w:t>
      </w:r>
      <w:r>
        <w:rPr>
          <w:rFonts w:hint="eastAsia" w:ascii="仿宋_GB2312" w:hAnsi="仿宋_GB2312" w:eastAsia="仿宋_GB2312" w:cs="仿宋_GB2312"/>
          <w:color w:val="auto"/>
          <w:kern w:val="0"/>
          <w:sz w:val="32"/>
          <w:szCs w:val="32"/>
        </w:rPr>
        <w:t>在全省率先成立市级教师发展中心，扎实推进“强师工程”，每年组织近10万教师参加各级各类培训。积极推进信息技术与教育教学融合创新，</w:t>
      </w:r>
      <w:r>
        <w:rPr>
          <w:rFonts w:hint="eastAsia" w:ascii="仿宋_GB2312" w:hAnsi="仿宋_GB2312" w:eastAsia="仿宋_GB2312" w:cs="仿宋_GB2312"/>
          <w:color w:val="auto"/>
          <w:kern w:val="0"/>
          <w:sz w:val="32"/>
          <w:szCs w:val="32"/>
          <w:lang w:eastAsia="zh-CN"/>
        </w:rPr>
        <w:t>提升</w:t>
      </w:r>
      <w:r>
        <w:rPr>
          <w:rFonts w:hint="eastAsia" w:ascii="仿宋_GB2312" w:hAnsi="仿宋_GB2312" w:eastAsia="仿宋_GB2312" w:cs="仿宋_GB2312"/>
          <w:color w:val="auto"/>
          <w:kern w:val="0"/>
          <w:sz w:val="32"/>
          <w:szCs w:val="32"/>
        </w:rPr>
        <w:t>教师信息化应用能力。教师规模</w:t>
      </w:r>
      <w:r>
        <w:rPr>
          <w:rFonts w:hint="eastAsia" w:ascii="仿宋_GB2312" w:hAnsi="仿宋_GB2312" w:eastAsia="仿宋_GB2312" w:cs="仿宋_GB2312"/>
          <w:color w:val="auto"/>
          <w:kern w:val="0"/>
          <w:sz w:val="32"/>
          <w:szCs w:val="32"/>
          <w:lang w:eastAsia="zh-CN"/>
        </w:rPr>
        <w:t>不断扩大</w:t>
      </w:r>
      <w:r>
        <w:rPr>
          <w:rFonts w:hint="eastAsia" w:ascii="仿宋_GB2312" w:hAnsi="仿宋_GB2312" w:eastAsia="仿宋_GB2312" w:cs="仿宋_GB2312"/>
          <w:color w:val="auto"/>
          <w:kern w:val="0"/>
          <w:sz w:val="32"/>
          <w:szCs w:val="32"/>
        </w:rPr>
        <w:t>、结构不断优化，2020年各级各类学校专任教师达到10.5万名，职业院校“双师型”教师占比为63.2%。名优教师队伍不断壮大，至2020年，共评选市级名校长、名班主任、名教师205人，与市委组织部联合培养青年名师200人，特级教师157人，正高级教师48人。实施教师学历提升计划，11128名教师提升了学历，其中155人提升至硕士研究生。</w:t>
      </w:r>
    </w:p>
    <w:p>
      <w:pPr>
        <w:spacing w:line="60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教育改革迈出新步伐。</w:t>
      </w:r>
      <w:r>
        <w:rPr>
          <w:rFonts w:hint="eastAsia" w:ascii="仿宋_GB2312" w:hAnsi="仿宋_GB2312" w:eastAsia="仿宋_GB2312" w:cs="仿宋_GB2312"/>
          <w:color w:val="auto"/>
          <w:kern w:val="0"/>
          <w:sz w:val="32"/>
          <w:szCs w:val="32"/>
        </w:rPr>
        <w:t>深化新时代教育评价改革，树立科学的教育评价导向。扎实推进教育领域“放管</w:t>
      </w:r>
      <w:r>
        <w:rPr>
          <w:rFonts w:hint="eastAsia" w:ascii="仿宋_GB2312" w:hAnsi="仿宋_GB2312" w:eastAsia="仿宋_GB2312" w:cs="仿宋_GB2312"/>
          <w:color w:val="auto"/>
          <w:kern w:val="0"/>
          <w:sz w:val="32"/>
          <w:szCs w:val="32"/>
          <w:shd w:val="clear" w:color="auto" w:fill="auto"/>
        </w:rPr>
        <w:t>服</w:t>
      </w:r>
      <w:r>
        <w:rPr>
          <w:rFonts w:hint="eastAsia" w:ascii="仿宋_GB2312" w:hAnsi="仿宋_GB2312" w:eastAsia="仿宋_GB2312" w:cs="仿宋_GB2312"/>
          <w:color w:val="auto"/>
          <w:kern w:val="0"/>
          <w:sz w:val="32"/>
          <w:szCs w:val="32"/>
        </w:rPr>
        <w:t>”改革，不断扩大学校办学自主权。深化教育教学改革，构建“五育”并举育人模式，素质教育育人功能有效发挥。整合优化教育资源，调整高中阶段学校布局结构，停办3所中职学校和5所农村小规模高中学校，华南师范大学附属电白学校等重点工程项目先后建成开学。职业教育校企合作推进力度</w:t>
      </w:r>
      <w:r>
        <w:rPr>
          <w:rFonts w:hint="eastAsia" w:ascii="仿宋_GB2312" w:hAnsi="仿宋_GB2312" w:eastAsia="仿宋_GB2312" w:cs="仿宋_GB2312"/>
          <w:color w:val="auto"/>
          <w:kern w:val="0"/>
          <w:sz w:val="32"/>
          <w:szCs w:val="32"/>
          <w:lang w:eastAsia="zh-CN"/>
        </w:rPr>
        <w:t>加</w:t>
      </w:r>
      <w:r>
        <w:rPr>
          <w:rFonts w:hint="eastAsia" w:ascii="仿宋_GB2312" w:hAnsi="仿宋_GB2312" w:eastAsia="仿宋_GB2312" w:cs="仿宋_GB2312"/>
          <w:color w:val="auto"/>
          <w:kern w:val="0"/>
          <w:sz w:val="32"/>
          <w:szCs w:val="32"/>
        </w:rPr>
        <w:t>大，高等教育体制机制改革成效明显。推动民办学校管理改革，规范民办学校办学，促进民办教育健康发展。深化考试招生制度改革，实现高考考务组织和疫情防控“双胜利”</w:t>
      </w:r>
      <w:r>
        <w:rPr>
          <w:rFonts w:hint="eastAsia" w:ascii="仿宋_GB2312" w:hAnsi="仿宋_GB2312" w:eastAsia="仿宋_GB2312" w:cs="仿宋_GB2312"/>
          <w:color w:val="auto"/>
          <w:kern w:val="0"/>
          <w:sz w:val="32"/>
          <w:szCs w:val="32"/>
          <w:shd w:val="clear" w:color="auto" w:fill="auto"/>
        </w:rPr>
        <w:t>。</w:t>
      </w:r>
      <w:r>
        <w:rPr>
          <w:rFonts w:hint="eastAsia" w:ascii="仿宋_GB2312" w:hAnsi="仿宋_GB2312" w:eastAsia="仿宋_GB2312" w:cs="仿宋_GB2312"/>
          <w:color w:val="auto"/>
          <w:kern w:val="0"/>
          <w:sz w:val="32"/>
          <w:szCs w:val="32"/>
        </w:rPr>
        <w:t>创新教师编制管理，彻底解决全市多年积压的468名高级教师低</w:t>
      </w:r>
      <w:r>
        <w:rPr>
          <w:rFonts w:hint="eastAsia" w:ascii="仿宋_GB2312" w:hAnsi="仿宋_GB2312" w:eastAsia="仿宋_GB2312" w:cs="仿宋_GB2312"/>
          <w:color w:val="auto"/>
          <w:kern w:val="0"/>
          <w:sz w:val="32"/>
          <w:szCs w:val="32"/>
          <w:shd w:val="clear" w:color="auto" w:fill="auto"/>
        </w:rPr>
        <w:t>聘</w:t>
      </w:r>
      <w:r>
        <w:rPr>
          <w:rFonts w:hint="eastAsia" w:ascii="仿宋_GB2312" w:hAnsi="仿宋_GB2312" w:eastAsia="仿宋_GB2312" w:cs="仿宋_GB2312"/>
          <w:color w:val="auto"/>
          <w:kern w:val="0"/>
          <w:sz w:val="32"/>
          <w:szCs w:val="32"/>
        </w:rPr>
        <w:t>问题，基本解决中级教师低</w:t>
      </w:r>
      <w:r>
        <w:rPr>
          <w:rFonts w:hint="eastAsia" w:ascii="仿宋_GB2312" w:hAnsi="仿宋_GB2312" w:eastAsia="仿宋_GB2312" w:cs="仿宋_GB2312"/>
          <w:color w:val="auto"/>
          <w:kern w:val="0"/>
          <w:sz w:val="32"/>
          <w:szCs w:val="32"/>
          <w:shd w:val="clear" w:color="auto" w:fill="auto"/>
        </w:rPr>
        <w:t>聘</w:t>
      </w:r>
      <w:r>
        <w:rPr>
          <w:rFonts w:hint="eastAsia" w:ascii="仿宋_GB2312" w:hAnsi="仿宋_GB2312" w:eastAsia="仿宋_GB2312" w:cs="仿宋_GB2312"/>
          <w:color w:val="auto"/>
          <w:kern w:val="0"/>
          <w:sz w:val="32"/>
          <w:szCs w:val="32"/>
        </w:rPr>
        <w:t>问题，有效激发广大教师工作积极性。</w:t>
      </w:r>
    </w:p>
    <w:p>
      <w:pPr>
        <w:keepNext w:val="0"/>
        <w:keepLines w:val="0"/>
        <w:pageBreakBefore w:val="0"/>
        <w:widowControl w:val="0"/>
        <w:kinsoku/>
        <w:wordWrap/>
        <w:overflowPunct/>
        <w:topLinePunct w:val="0"/>
        <w:autoSpaceDE/>
        <w:autoSpaceDN/>
        <w:bidi w:val="0"/>
        <w:adjustRightInd/>
        <w:snapToGrid/>
        <w:spacing w:after="156" w:afterLines="50"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kern w:val="0"/>
          <w:sz w:val="32"/>
          <w:szCs w:val="32"/>
        </w:rPr>
        <w:t>教育保障达到新高度。</w:t>
      </w:r>
      <w:r>
        <w:rPr>
          <w:rFonts w:hint="eastAsia" w:ascii="仿宋_GB2312" w:hAnsi="仿宋_GB2312" w:eastAsia="仿宋_GB2312" w:cs="仿宋_GB2312"/>
          <w:color w:val="auto"/>
          <w:kern w:val="0"/>
          <w:sz w:val="32"/>
          <w:szCs w:val="32"/>
        </w:rPr>
        <w:t>压实</w:t>
      </w:r>
      <w:r>
        <w:rPr>
          <w:rFonts w:hint="eastAsia" w:ascii="仿宋_GB2312" w:hAnsi="仿宋_GB2312" w:eastAsia="仿宋_GB2312" w:cs="仿宋_GB2312"/>
          <w:color w:val="auto"/>
          <w:sz w:val="32"/>
          <w:szCs w:val="32"/>
        </w:rPr>
        <w:t>政府职责，市、县、镇三级政府常务副职分管教育机制有效落实。</w:t>
      </w:r>
      <w:r>
        <w:rPr>
          <w:rFonts w:hint="eastAsia" w:ascii="仿宋_GB2312" w:hAnsi="仿宋_GB2312" w:eastAsia="仿宋_GB2312" w:cs="仿宋_GB2312"/>
          <w:color w:val="auto"/>
          <w:sz w:val="32"/>
          <w:szCs w:val="32"/>
          <w:lang w:eastAsia="zh-CN"/>
        </w:rPr>
        <w:t>加大</w:t>
      </w:r>
      <w:r>
        <w:rPr>
          <w:rFonts w:hint="eastAsia" w:ascii="仿宋_GB2312" w:hAnsi="仿宋_GB2312" w:eastAsia="仿宋_GB2312" w:cs="仿宋_GB2312"/>
          <w:color w:val="auto"/>
          <w:sz w:val="32"/>
          <w:szCs w:val="32"/>
        </w:rPr>
        <w:t>财政支持</w:t>
      </w:r>
      <w:r>
        <w:rPr>
          <w:rFonts w:hint="eastAsia" w:ascii="仿宋_GB2312" w:hAnsi="仿宋_GB2312" w:eastAsia="仿宋_GB2312" w:cs="仿宋_GB2312"/>
          <w:color w:val="auto"/>
          <w:sz w:val="32"/>
          <w:szCs w:val="32"/>
          <w:lang w:eastAsia="zh-CN"/>
        </w:rPr>
        <w:t>力度</w:t>
      </w:r>
      <w:r>
        <w:rPr>
          <w:rFonts w:hint="eastAsia" w:ascii="仿宋_GB2312" w:hAnsi="仿宋_GB2312" w:eastAsia="仿宋_GB2312" w:cs="仿宋_GB2312"/>
          <w:color w:val="auto"/>
          <w:sz w:val="32"/>
          <w:szCs w:val="32"/>
        </w:rPr>
        <w:t>，实现学前教育到高中阶段教育生均财政拨款全覆盖。</w:t>
      </w:r>
      <w:r>
        <w:rPr>
          <w:rFonts w:hint="eastAsia" w:ascii="仿宋_GB2312" w:hAnsi="仿宋_GB2312" w:eastAsia="仿宋_GB2312" w:cs="仿宋_GB2312"/>
          <w:color w:val="auto"/>
          <w:kern w:val="0"/>
          <w:sz w:val="32"/>
          <w:szCs w:val="32"/>
        </w:rPr>
        <w:t>2016</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2020</w:t>
      </w:r>
      <w:r>
        <w:rPr>
          <w:rFonts w:hint="eastAsia" w:ascii="仿宋_GB2312" w:hAnsi="仿宋_GB2312" w:eastAsia="仿宋_GB2312" w:cs="仿宋_GB2312"/>
          <w:color w:val="auto"/>
          <w:sz w:val="32"/>
          <w:szCs w:val="32"/>
        </w:rPr>
        <w:t>年，全市地方教育经费总投入累计达782.41亿元，其中财政性教育经费677.46亿元，年均分别增长9.40%和9.23%，实现一般公共预算教育经费支出“两个只增不减”</w:t>
      </w:r>
      <w:r>
        <w:rPr>
          <w:rStyle w:val="11"/>
          <w:rFonts w:hint="eastAsia" w:ascii="仿宋_GB2312" w:hAnsi="仿宋_GB2312" w:eastAsia="仿宋_GB2312" w:cs="仿宋_GB2312"/>
          <w:color w:val="auto"/>
          <w:sz w:val="32"/>
          <w:szCs w:val="32"/>
        </w:rPr>
        <w:footnoteReference w:id="0"/>
      </w:r>
      <w:r>
        <w:rPr>
          <w:rFonts w:hint="eastAsia" w:ascii="仿宋_GB2312" w:hAnsi="仿宋_GB2312" w:eastAsia="仿宋_GB2312" w:cs="仿宋_GB2312"/>
          <w:color w:val="auto"/>
          <w:sz w:val="32"/>
          <w:szCs w:val="32"/>
        </w:rPr>
        <w:t>。健全教师工资保障长效机制，实现公办中小学教师工资收入水平“两个不低于或高于”</w:t>
      </w:r>
      <w:r>
        <w:rPr>
          <w:rStyle w:val="11"/>
          <w:rFonts w:hint="eastAsia" w:ascii="仿宋_GB2312" w:hAnsi="仿宋_GB2312" w:eastAsia="仿宋_GB2312" w:cs="仿宋_GB2312"/>
          <w:color w:val="auto"/>
          <w:sz w:val="32"/>
          <w:szCs w:val="32"/>
        </w:rPr>
        <w:footnoteReference w:id="1"/>
      </w:r>
      <w:r>
        <w:rPr>
          <w:rFonts w:hint="eastAsia" w:ascii="仿宋_GB2312" w:hAnsi="仿宋_GB2312" w:eastAsia="仿宋_GB2312" w:cs="仿宋_GB2312"/>
          <w:color w:val="auto"/>
          <w:sz w:val="32"/>
          <w:szCs w:val="32"/>
        </w:rPr>
        <w:t>。深入实施公费定向培养农村教师，落实5.2万名乡村教师人均1000元生活补助，</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到农村学校从教上岗的858名高校毕业生发放退费补助金额758.8万元，吸引优秀人才到山区和农村边远地区从教。完善学生资助制度，各级财政共投入</w:t>
      </w:r>
      <w:r>
        <w:rPr>
          <w:rFonts w:hint="eastAsia" w:ascii="仿宋_GB2312" w:hAnsi="仿宋_GB2312" w:eastAsia="仿宋_GB2312" w:cs="仿宋_GB2312"/>
          <w:color w:val="auto"/>
          <w:kern w:val="0"/>
          <w:sz w:val="32"/>
          <w:szCs w:val="32"/>
        </w:rPr>
        <w:t>38.15</w:t>
      </w:r>
      <w:r>
        <w:rPr>
          <w:rFonts w:hint="eastAsia" w:ascii="仿宋_GB2312" w:hAnsi="仿宋_GB2312" w:eastAsia="仿宋_GB2312" w:cs="仿宋_GB2312"/>
          <w:color w:val="auto"/>
          <w:sz w:val="32"/>
          <w:szCs w:val="32"/>
        </w:rPr>
        <w:t>亿元，资助各级各类家庭经济困难学生</w:t>
      </w:r>
      <w:r>
        <w:rPr>
          <w:rFonts w:hint="eastAsia" w:ascii="仿宋_GB2312" w:hAnsi="仿宋_GB2312" w:eastAsia="仿宋_GB2312" w:cs="仿宋_GB2312"/>
          <w:color w:val="auto"/>
          <w:kern w:val="0"/>
          <w:sz w:val="32"/>
          <w:szCs w:val="32"/>
        </w:rPr>
        <w:t>170.97</w:t>
      </w:r>
      <w:r>
        <w:rPr>
          <w:rFonts w:hint="eastAsia" w:ascii="仿宋_GB2312" w:hAnsi="仿宋_GB2312" w:eastAsia="仿宋_GB2312" w:cs="仿宋_GB2312"/>
          <w:color w:val="auto"/>
          <w:sz w:val="32"/>
          <w:szCs w:val="32"/>
        </w:rPr>
        <w:t>万人次。教学信息化水平明显提升，中小学（含教学点）校校通宽带接入率达</w:t>
      </w:r>
      <w:r>
        <w:rPr>
          <w:rFonts w:hint="eastAsia" w:ascii="仿宋_GB2312" w:hAnsi="仿宋_GB2312" w:eastAsia="仿宋_GB2312" w:cs="仿宋_GB2312"/>
          <w:color w:val="auto"/>
          <w:kern w:val="0"/>
          <w:sz w:val="32"/>
          <w:szCs w:val="32"/>
        </w:rPr>
        <w:t>100%</w:t>
      </w:r>
      <w:r>
        <w:rPr>
          <w:rFonts w:hint="eastAsia" w:ascii="仿宋_GB2312" w:hAnsi="仿宋_GB2312" w:eastAsia="仿宋_GB2312" w:cs="仿宋_GB2312"/>
          <w:color w:val="auto"/>
          <w:sz w:val="32"/>
          <w:szCs w:val="32"/>
        </w:rPr>
        <w:t>，多媒体课室班班通达</w:t>
      </w:r>
      <w:r>
        <w:rPr>
          <w:rFonts w:hint="eastAsia" w:ascii="仿宋_GB2312" w:hAnsi="仿宋_GB2312" w:eastAsia="仿宋_GB2312" w:cs="仿宋_GB2312"/>
          <w:color w:val="auto"/>
          <w:kern w:val="0"/>
          <w:sz w:val="32"/>
          <w:szCs w:val="32"/>
        </w:rPr>
        <w:t>100</w:t>
      </w:r>
      <w:r>
        <w:rPr>
          <w:rFonts w:hint="eastAsia" w:ascii="仿宋_GB2312" w:hAnsi="仿宋_GB2312" w:eastAsia="仿宋_GB2312" w:cs="仿宋_GB2312"/>
          <w:color w:val="auto"/>
          <w:sz w:val="32"/>
          <w:szCs w:val="32"/>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5938"/>
        <w:gridCol w:w="1169"/>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9060" w:type="dxa"/>
            <w:gridSpan w:val="4"/>
            <w:noWrap w:val="0"/>
            <w:vAlign w:val="top"/>
          </w:tcPr>
          <w:p>
            <w:pPr>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kern w:val="0"/>
                <w:sz w:val="28"/>
                <w:szCs w:val="28"/>
                <w:highlight w:val="none"/>
                <w:shd w:val="clear" w:color="auto" w:fill="auto"/>
              </w:rPr>
              <w:t>专栏1  “十三五”期间目标完成情况表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6746" w:type="dxa"/>
            <w:gridSpan w:val="2"/>
            <w:noWrap w:val="0"/>
            <w:vAlign w:val="center"/>
          </w:tcPr>
          <w:p>
            <w:pPr>
              <w:spacing w:line="520" w:lineRule="exact"/>
              <w:jc w:val="center"/>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指标</w:t>
            </w:r>
          </w:p>
        </w:tc>
        <w:tc>
          <w:tcPr>
            <w:tcW w:w="1169" w:type="dxa"/>
            <w:noWrap w:val="0"/>
            <w:vAlign w:val="center"/>
          </w:tcPr>
          <w:p>
            <w:pPr>
              <w:spacing w:line="520" w:lineRule="exact"/>
              <w:jc w:val="center"/>
              <w:rPr>
                <w:rFonts w:hint="eastAsia" w:ascii="仿宋_GB2312" w:hAnsi="仿宋_GB2312" w:eastAsia="仿宋_GB2312" w:cs="仿宋_GB2312"/>
                <w:b/>
                <w:bCs/>
                <w:color w:val="auto"/>
                <w:kern w:val="0"/>
                <w:sz w:val="28"/>
                <w:szCs w:val="28"/>
                <w:highlight w:val="yellow"/>
              </w:rPr>
            </w:pPr>
            <w:r>
              <w:rPr>
                <w:rFonts w:hint="eastAsia" w:ascii="仿宋_GB2312" w:hAnsi="仿宋_GB2312" w:eastAsia="仿宋_GB2312" w:cs="仿宋_GB2312"/>
                <w:b/>
                <w:bCs/>
                <w:color w:val="auto"/>
                <w:kern w:val="0"/>
                <w:sz w:val="28"/>
                <w:szCs w:val="28"/>
                <w:highlight w:val="none"/>
                <w:shd w:val="clear" w:color="auto" w:fill="auto"/>
              </w:rPr>
              <w:t>2015年</w:t>
            </w:r>
          </w:p>
        </w:tc>
        <w:tc>
          <w:tcPr>
            <w:tcW w:w="1145" w:type="dxa"/>
            <w:noWrap w:val="0"/>
            <w:vAlign w:val="center"/>
          </w:tcPr>
          <w:p>
            <w:pPr>
              <w:spacing w:line="520" w:lineRule="exact"/>
              <w:jc w:val="center"/>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808" w:type="dxa"/>
            <w:vMerge w:val="restart"/>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学前</w:t>
            </w:r>
          </w:p>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教育</w:t>
            </w: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学前教育在园幼儿（万人）</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25.5</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en-US"/>
              </w:rPr>
              <w:t>34.81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808" w:type="dxa"/>
            <w:vMerge w:val="continue"/>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学前教育幼儿毛入园率（%）</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.25</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98.53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exact"/>
          <w:jc w:val="center"/>
        </w:trPr>
        <w:tc>
          <w:tcPr>
            <w:tcW w:w="808" w:type="dxa"/>
            <w:vMerge w:val="continue"/>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公办幼儿园在园幼儿占比（%）</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48.67</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808" w:type="dxa"/>
            <w:vMerge w:val="continue"/>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公办幼儿园和普惠性民办幼儿园在园幼儿占比（%）</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86.38</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jc w:val="center"/>
        </w:trPr>
        <w:tc>
          <w:tcPr>
            <w:tcW w:w="808" w:type="dxa"/>
            <w:vMerge w:val="restart"/>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九年义务教育</w:t>
            </w: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义务教育阶段在校生（万人）</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87.56</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exact"/>
          <w:jc w:val="center"/>
        </w:trPr>
        <w:tc>
          <w:tcPr>
            <w:tcW w:w="808" w:type="dxa"/>
            <w:vMerge w:val="continue"/>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九年义务教育巩固率（%）</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95.72</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jc w:val="center"/>
        </w:trPr>
        <w:tc>
          <w:tcPr>
            <w:tcW w:w="808" w:type="dxa"/>
            <w:vMerge w:val="continue"/>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适龄残疾儿童义务教育入学率（%）</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97.5</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808" w:type="dxa"/>
            <w:vMerge w:val="continue"/>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kern w:val="2"/>
                <w:sz w:val="28"/>
                <w:szCs w:val="28"/>
                <w:lang w:val="en-US" w:eastAsia="en-US" w:bidi="ar-SA"/>
              </w:rPr>
            </w:pPr>
            <w:r>
              <w:rPr>
                <w:rFonts w:hint="eastAsia" w:ascii="仿宋_GB2312" w:hAnsi="仿宋_GB2312" w:eastAsia="仿宋_GB2312" w:cs="仿宋_GB2312"/>
                <w:color w:val="auto"/>
                <w:sz w:val="28"/>
                <w:szCs w:val="28"/>
                <w:lang w:eastAsia="en-US"/>
              </w:rPr>
              <w:t>特殊教育学生</w:t>
            </w:r>
            <w:r>
              <w:rPr>
                <w:rFonts w:hint="eastAsia" w:ascii="仿宋_GB2312" w:hAnsi="仿宋_GB2312" w:eastAsia="仿宋_GB2312" w:cs="仿宋_GB2312"/>
                <w:color w:val="auto"/>
                <w:sz w:val="28"/>
                <w:szCs w:val="28"/>
              </w:rPr>
              <w:t>（人）</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kern w:val="2"/>
                <w:sz w:val="28"/>
                <w:szCs w:val="28"/>
                <w:lang w:val="en-US" w:eastAsia="en-US" w:bidi="ar-SA"/>
              </w:rPr>
            </w:pPr>
            <w:r>
              <w:rPr>
                <w:rFonts w:hint="eastAsia" w:ascii="仿宋_GB2312" w:hAnsi="仿宋_GB2312" w:eastAsia="仿宋_GB2312" w:cs="仿宋_GB2312"/>
                <w:color w:val="auto"/>
                <w:sz w:val="28"/>
                <w:szCs w:val="28"/>
                <w:lang w:val="en-US" w:eastAsia="zh-CN"/>
              </w:rPr>
              <w:t>2878</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kern w:val="2"/>
                <w:sz w:val="28"/>
                <w:szCs w:val="28"/>
                <w:lang w:val="en-US" w:eastAsia="en-US" w:bidi="ar-SA"/>
              </w:rPr>
            </w:pPr>
            <w:r>
              <w:rPr>
                <w:rFonts w:hint="eastAsia" w:ascii="仿宋_GB2312" w:hAnsi="仿宋_GB2312" w:eastAsia="仿宋_GB2312" w:cs="仿宋_GB2312"/>
                <w:color w:val="auto"/>
                <w:sz w:val="28"/>
                <w:szCs w:val="28"/>
                <w:lang w:eastAsia="en-US"/>
              </w:rPr>
              <w:t>5707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808" w:type="dxa"/>
            <w:vMerge w:val="restart"/>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高中阶段教育</w:t>
            </w: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高中阶段在校生（万人）</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28</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25.36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exact"/>
          <w:jc w:val="center"/>
        </w:trPr>
        <w:tc>
          <w:tcPr>
            <w:tcW w:w="808" w:type="dxa"/>
            <w:vMerge w:val="continue"/>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高中阶段毛入学率（%）</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86.34</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95.3</w:t>
            </w:r>
            <w:r>
              <w:rPr>
                <w:rFonts w:hint="eastAsia" w:ascii="仿宋_GB2312" w:hAnsi="仿宋_GB2312" w:eastAsia="仿宋_GB2312" w:cs="仿宋_GB2312"/>
                <w:color w:val="auto"/>
                <w:sz w:val="28"/>
                <w:szCs w:val="2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808" w:type="dxa"/>
            <w:vMerge w:val="restart"/>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高等教育</w:t>
            </w: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高等院校在校生</w:t>
            </w:r>
            <w:r>
              <w:rPr>
                <w:rFonts w:hint="eastAsia" w:ascii="仿宋_GB2312" w:hAnsi="仿宋_GB2312" w:eastAsia="仿宋_GB2312" w:cs="仿宋_GB2312"/>
                <w:color w:val="auto"/>
                <w:sz w:val="28"/>
                <w:szCs w:val="28"/>
              </w:rPr>
              <w:t>（万人）</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4.7</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highlight w:val="none"/>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808" w:type="dxa"/>
            <w:vMerge w:val="continue"/>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高等院校校园面积（亩）</w:t>
            </w:r>
          </w:p>
        </w:tc>
        <w:tc>
          <w:tcPr>
            <w:tcW w:w="1169" w:type="dxa"/>
            <w:noWrap w:val="0"/>
            <w:vAlign w:val="center"/>
          </w:tcPr>
          <w:p>
            <w:pPr>
              <w:spacing w:line="520" w:lineRule="exact"/>
              <w:jc w:val="center"/>
              <w:rPr>
                <w:rFonts w:hint="eastAsia" w:ascii="仿宋_GB2312" w:hAnsi="仿宋_GB2312" w:eastAsia="仿宋_GB2312" w:cs="仿宋_GB2312"/>
                <w:color w:val="auto"/>
                <w:sz w:val="28"/>
                <w:szCs w:val="28"/>
                <w:highlight w:val="yellow"/>
                <w:lang w:val="en-US" w:eastAsia="zh-CN"/>
              </w:rPr>
            </w:pPr>
            <w:r>
              <w:rPr>
                <w:rFonts w:hint="eastAsia" w:ascii="仿宋_GB2312" w:hAnsi="仿宋_GB2312" w:eastAsia="仿宋_GB2312" w:cs="仿宋_GB2312"/>
                <w:color w:val="auto"/>
                <w:sz w:val="28"/>
                <w:szCs w:val="28"/>
                <w:lang w:val="en-US" w:eastAsia="zh-CN"/>
              </w:rPr>
              <w:t>1588</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6131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jc w:val="center"/>
        </w:trPr>
        <w:tc>
          <w:tcPr>
            <w:tcW w:w="808" w:type="dxa"/>
            <w:vMerge w:val="restart"/>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教师素质</w:t>
            </w: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各级各类学校专任教师（万人）</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en-US"/>
              </w:rPr>
              <w:t>8</w:t>
            </w:r>
            <w:r>
              <w:rPr>
                <w:rFonts w:hint="eastAsia" w:ascii="仿宋_GB2312" w:hAnsi="仿宋_GB2312" w:eastAsia="仿宋_GB2312" w:cs="仿宋_GB2312"/>
                <w:color w:val="auto"/>
                <w:sz w:val="28"/>
                <w:szCs w:val="28"/>
                <w:lang w:val="en-US" w:eastAsia="zh-CN"/>
              </w:rPr>
              <w:t>.7</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exact"/>
          <w:jc w:val="center"/>
        </w:trPr>
        <w:tc>
          <w:tcPr>
            <w:tcW w:w="808" w:type="dxa"/>
            <w:vMerge w:val="continue"/>
            <w:noWrap w:val="0"/>
            <w:vAlign w:val="center"/>
          </w:tcPr>
          <w:p>
            <w:pPr>
              <w:spacing w:line="520" w:lineRule="exact"/>
              <w:jc w:val="center"/>
              <w:rPr>
                <w:rFonts w:hint="eastAsia" w:ascii="仿宋_GB2312" w:hAnsi="仿宋_GB2312" w:eastAsia="仿宋_GB2312" w:cs="仿宋_GB2312"/>
                <w:color w:val="auto"/>
                <w:sz w:val="28"/>
                <w:szCs w:val="28"/>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职业院校“双师型”教师占比（%）</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shd w:val="clear" w:color="auto" w:fill="auto"/>
                <w:lang w:val="en-US" w:eastAsia="zh-CN"/>
              </w:rPr>
              <w:t>40.3</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808" w:type="dxa"/>
            <w:vMerge w:val="continue"/>
            <w:noWrap w:val="0"/>
            <w:vAlign w:val="center"/>
          </w:tcPr>
          <w:p>
            <w:pPr>
              <w:spacing w:line="520" w:lineRule="exact"/>
              <w:jc w:val="center"/>
              <w:rPr>
                <w:rFonts w:hint="eastAsia" w:ascii="仿宋_GB2312" w:hAnsi="仿宋_GB2312" w:eastAsia="仿宋_GB2312" w:cs="仿宋_GB2312"/>
                <w:color w:val="auto"/>
                <w:sz w:val="28"/>
                <w:szCs w:val="28"/>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市级名校长、</w:t>
            </w:r>
            <w:r>
              <w:rPr>
                <w:rFonts w:hint="eastAsia" w:ascii="仿宋_GB2312" w:hAnsi="仿宋_GB2312" w:eastAsia="仿宋_GB2312" w:cs="仿宋_GB2312"/>
                <w:color w:val="auto"/>
                <w:sz w:val="28"/>
                <w:szCs w:val="28"/>
                <w:highlight w:val="none"/>
                <w:shd w:val="clear" w:color="auto" w:fill="auto"/>
              </w:rPr>
              <w:t>名班主任、名教师</w:t>
            </w:r>
            <w:r>
              <w:rPr>
                <w:rFonts w:hint="eastAsia" w:ascii="仿宋_GB2312" w:hAnsi="仿宋_GB2312" w:eastAsia="仿宋_GB2312" w:cs="仿宋_GB2312"/>
                <w:color w:val="auto"/>
                <w:sz w:val="28"/>
                <w:szCs w:val="28"/>
                <w:highlight w:val="none"/>
              </w:rPr>
              <w:t>（人）</w:t>
            </w:r>
          </w:p>
        </w:tc>
        <w:tc>
          <w:tcPr>
            <w:tcW w:w="1169" w:type="dxa"/>
            <w:noWrap w:val="0"/>
            <w:vAlign w:val="center"/>
          </w:tcPr>
          <w:p>
            <w:pPr>
              <w:spacing w:line="520" w:lineRule="exact"/>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105</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808" w:type="dxa"/>
            <w:vMerge w:val="continue"/>
            <w:noWrap w:val="0"/>
            <w:vAlign w:val="center"/>
          </w:tcPr>
          <w:p>
            <w:pPr>
              <w:spacing w:line="520" w:lineRule="exact"/>
              <w:jc w:val="center"/>
              <w:rPr>
                <w:rFonts w:hint="eastAsia" w:ascii="仿宋_GB2312" w:hAnsi="仿宋_GB2312" w:eastAsia="仿宋_GB2312" w:cs="仿宋_GB2312"/>
                <w:color w:val="auto"/>
                <w:sz w:val="28"/>
                <w:szCs w:val="28"/>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highlight w:val="none"/>
                <w:lang w:eastAsia="en-US"/>
              </w:rPr>
            </w:pPr>
            <w:r>
              <w:rPr>
                <w:rFonts w:hint="eastAsia" w:ascii="仿宋_GB2312" w:hAnsi="仿宋_GB2312" w:eastAsia="仿宋_GB2312" w:cs="仿宋_GB2312"/>
                <w:color w:val="auto"/>
                <w:sz w:val="28"/>
                <w:szCs w:val="28"/>
                <w:highlight w:val="none"/>
                <w:lang w:eastAsia="en-US"/>
              </w:rPr>
              <w:t>特级教师</w:t>
            </w:r>
            <w:r>
              <w:rPr>
                <w:rFonts w:hint="eastAsia" w:ascii="仿宋_GB2312" w:hAnsi="仿宋_GB2312" w:eastAsia="仿宋_GB2312" w:cs="仿宋_GB2312"/>
                <w:color w:val="auto"/>
                <w:sz w:val="28"/>
                <w:szCs w:val="28"/>
                <w:highlight w:val="none"/>
              </w:rPr>
              <w:t>（人）</w:t>
            </w:r>
          </w:p>
        </w:tc>
        <w:tc>
          <w:tcPr>
            <w:tcW w:w="1169" w:type="dxa"/>
            <w:noWrap w:val="0"/>
            <w:vAlign w:val="center"/>
          </w:tcPr>
          <w:p>
            <w:pPr>
              <w:spacing w:line="520" w:lineRule="exact"/>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125</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jc w:val="center"/>
        </w:trPr>
        <w:tc>
          <w:tcPr>
            <w:tcW w:w="808" w:type="dxa"/>
            <w:vMerge w:val="continue"/>
            <w:noWrap w:val="0"/>
            <w:vAlign w:val="center"/>
          </w:tcPr>
          <w:p>
            <w:pPr>
              <w:spacing w:line="520" w:lineRule="exact"/>
              <w:jc w:val="center"/>
              <w:rPr>
                <w:rFonts w:hint="eastAsia" w:ascii="仿宋_GB2312" w:hAnsi="仿宋_GB2312" w:eastAsia="仿宋_GB2312" w:cs="仿宋_GB2312"/>
                <w:color w:val="auto"/>
                <w:sz w:val="28"/>
                <w:szCs w:val="28"/>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en-US"/>
              </w:rPr>
              <w:t>正高级教师</w:t>
            </w:r>
            <w:r>
              <w:rPr>
                <w:rFonts w:hint="eastAsia" w:ascii="仿宋_GB2312" w:hAnsi="仿宋_GB2312" w:eastAsia="仿宋_GB2312" w:cs="仿宋_GB2312"/>
                <w:color w:val="auto"/>
                <w:sz w:val="28"/>
                <w:szCs w:val="28"/>
                <w:highlight w:val="none"/>
              </w:rPr>
              <w:t>（人）</w:t>
            </w:r>
          </w:p>
        </w:tc>
        <w:tc>
          <w:tcPr>
            <w:tcW w:w="1169" w:type="dxa"/>
            <w:noWrap w:val="0"/>
            <w:vAlign w:val="center"/>
          </w:tcPr>
          <w:p>
            <w:pPr>
              <w:spacing w:line="520" w:lineRule="exact"/>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8" w:type="dxa"/>
            <w:vMerge w:val="restart"/>
            <w:noWrap w:val="0"/>
            <w:vAlign w:val="center"/>
          </w:tcPr>
          <w:p>
            <w:pPr>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en-US"/>
              </w:rPr>
              <w:t>教育保障</w:t>
            </w: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全市地方教育经费总投入（亿元）</w:t>
            </w:r>
          </w:p>
        </w:tc>
        <w:tc>
          <w:tcPr>
            <w:tcW w:w="1169" w:type="dxa"/>
            <w:noWrap w:val="0"/>
            <w:vAlign w:val="center"/>
          </w:tcPr>
          <w:p>
            <w:pPr>
              <w:spacing w:line="52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118.</w:t>
            </w:r>
            <w:r>
              <w:rPr>
                <w:rFonts w:hint="eastAsia" w:ascii="仿宋_GB2312" w:hAnsi="仿宋_GB2312" w:eastAsia="仿宋_GB2312" w:cs="仿宋_GB2312"/>
                <w:color w:val="auto"/>
                <w:sz w:val="28"/>
                <w:szCs w:val="28"/>
                <w:highlight w:val="none"/>
                <w:shd w:val="clear" w:color="auto" w:fill="auto"/>
                <w:lang w:val="en-US" w:eastAsia="zh-CN"/>
              </w:rPr>
              <w:t>5</w:t>
            </w:r>
            <w:r>
              <w:rPr>
                <w:rFonts w:hint="eastAsia" w:ascii="仿宋_GB2312" w:hAnsi="仿宋_GB2312" w:eastAsia="仿宋_GB2312" w:cs="仿宋_GB2312"/>
                <w:color w:val="auto"/>
                <w:sz w:val="28"/>
                <w:szCs w:val="28"/>
                <w:highlight w:val="none"/>
                <w:lang w:val="en-US" w:eastAsia="zh-CN"/>
              </w:rPr>
              <w:t>6</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highlight w:val="none"/>
                <w:lang w:eastAsia="en-US"/>
              </w:rPr>
            </w:pPr>
            <w:r>
              <w:rPr>
                <w:rFonts w:hint="eastAsia" w:ascii="仿宋_GB2312" w:hAnsi="仿宋_GB2312" w:eastAsia="仿宋_GB2312" w:cs="仿宋_GB2312"/>
                <w:color w:val="auto"/>
                <w:sz w:val="28"/>
                <w:szCs w:val="28"/>
                <w:highlight w:val="none"/>
                <w:lang w:val="en-US" w:eastAsia="zh-CN"/>
              </w:rPr>
              <w:t>186.93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808" w:type="dxa"/>
            <w:vMerge w:val="continue"/>
            <w:noWrap w:val="0"/>
            <w:vAlign w:val="center"/>
          </w:tcPr>
          <w:p>
            <w:pPr>
              <w:spacing w:line="520" w:lineRule="exact"/>
              <w:jc w:val="center"/>
              <w:rPr>
                <w:rFonts w:hint="eastAsia" w:ascii="仿宋_GB2312" w:hAnsi="仿宋_GB2312" w:eastAsia="仿宋_GB2312" w:cs="仿宋_GB2312"/>
                <w:color w:val="auto"/>
                <w:sz w:val="28"/>
                <w:szCs w:val="28"/>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中小学（含教学点）校校通宽带接入率（%）</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808" w:type="dxa"/>
            <w:vMerge w:val="continue"/>
            <w:noWrap w:val="0"/>
            <w:vAlign w:val="center"/>
          </w:tcPr>
          <w:p>
            <w:pPr>
              <w:spacing w:line="520" w:lineRule="exact"/>
              <w:jc w:val="center"/>
              <w:rPr>
                <w:rFonts w:hint="eastAsia" w:ascii="仿宋_GB2312" w:hAnsi="仿宋_GB2312" w:eastAsia="仿宋_GB2312" w:cs="仿宋_GB2312"/>
                <w:color w:val="auto"/>
                <w:sz w:val="28"/>
                <w:szCs w:val="28"/>
              </w:rPr>
            </w:pPr>
          </w:p>
        </w:tc>
        <w:tc>
          <w:tcPr>
            <w:tcW w:w="5938"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多媒体课室班班通（%）</w:t>
            </w:r>
          </w:p>
        </w:tc>
        <w:tc>
          <w:tcPr>
            <w:tcW w:w="1169"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78</w:t>
            </w:r>
          </w:p>
        </w:tc>
        <w:tc>
          <w:tcPr>
            <w:tcW w:w="1145"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w:t>
            </w:r>
          </w:p>
        </w:tc>
      </w:tr>
    </w:tbl>
    <w:p>
      <w:pPr>
        <w:pStyle w:val="4"/>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cs="黑体"/>
          <w:b w:val="0"/>
          <w:bCs w:val="0"/>
          <w:color w:val="auto"/>
          <w:kern w:val="0"/>
        </w:rPr>
      </w:pPr>
      <w:bookmarkStart w:id="19" w:name="_Toc439515608_WPSOffice_Level2"/>
      <w:bookmarkStart w:id="20" w:name="_Toc648828807_WPSOffice_Level2"/>
      <w:bookmarkStart w:id="21" w:name="_Toc98694794"/>
      <w:r>
        <w:rPr>
          <w:rFonts w:hint="eastAsia" w:ascii="黑体" w:hAnsi="黑体" w:eastAsia="黑体" w:cs="黑体"/>
          <w:b w:val="0"/>
          <w:bCs w:val="0"/>
          <w:color w:val="auto"/>
          <w:kern w:val="0"/>
        </w:rPr>
        <w:t>第二节 面临形势</w:t>
      </w:r>
      <w:bookmarkEnd w:id="19"/>
      <w:bookmarkEnd w:id="20"/>
      <w:bookmarkEnd w:id="21"/>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“十四五”时期是我国开启全面建设社会主义现代化国家新征程、向第二个百年奋斗目标进军的第一个五年，也是茂名</w:t>
      </w:r>
      <w:r>
        <w:rPr>
          <w:rFonts w:hint="eastAsia" w:ascii="仿宋_GB2312" w:hAnsi="仿宋_GB2312" w:eastAsia="仿宋_GB2312" w:cs="仿宋_GB2312"/>
          <w:color w:val="auto"/>
          <w:kern w:val="0"/>
          <w:sz w:val="32"/>
          <w:szCs w:val="32"/>
          <w:lang w:eastAsia="zh-CN"/>
        </w:rPr>
        <w:t>落实</w:t>
      </w:r>
      <w:r>
        <w:rPr>
          <w:rFonts w:hint="eastAsia" w:ascii="仿宋_GB2312" w:hAnsi="仿宋_GB2312" w:eastAsia="仿宋_GB2312" w:cs="仿宋_GB2312"/>
          <w:color w:val="auto"/>
          <w:kern w:val="0"/>
          <w:sz w:val="32"/>
          <w:szCs w:val="32"/>
        </w:rPr>
        <w:t>省委</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省政府</w:t>
      </w:r>
      <w:r>
        <w:rPr>
          <w:rFonts w:hint="eastAsia" w:ascii="仿宋_GB2312" w:hAnsi="仿宋_GB2312" w:eastAsia="仿宋_GB2312" w:cs="仿宋_GB2312"/>
          <w:color w:val="auto"/>
          <w:kern w:val="0"/>
          <w:sz w:val="32"/>
          <w:szCs w:val="32"/>
          <w:shd w:val="clear" w:color="auto" w:fill="auto"/>
        </w:rPr>
        <w:t>作出</w:t>
      </w:r>
      <w:r>
        <w:rPr>
          <w:rFonts w:hint="eastAsia" w:ascii="仿宋_GB2312" w:hAnsi="仿宋_GB2312" w:eastAsia="仿宋_GB2312" w:cs="仿宋_GB2312"/>
          <w:color w:val="auto"/>
          <w:kern w:val="0"/>
          <w:sz w:val="32"/>
          <w:szCs w:val="32"/>
        </w:rPr>
        <w:t>建设高质量基础教育体系的决策部署</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推动我市教育加快发展的关键时期。</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国家和省对教育改革发展</w:t>
      </w:r>
      <w:r>
        <w:rPr>
          <w:rFonts w:hint="eastAsia" w:ascii="仿宋_GB2312" w:hAnsi="仿宋_GB2312" w:eastAsia="仿宋_GB2312" w:cs="仿宋_GB2312"/>
          <w:b/>
          <w:color w:val="auto"/>
          <w:kern w:val="0"/>
          <w:sz w:val="32"/>
          <w:szCs w:val="32"/>
          <w:shd w:val="clear" w:color="auto" w:fill="auto"/>
        </w:rPr>
        <w:t>作出</w:t>
      </w:r>
      <w:r>
        <w:rPr>
          <w:rFonts w:hint="eastAsia" w:ascii="仿宋_GB2312" w:hAnsi="仿宋_GB2312" w:eastAsia="仿宋_GB2312" w:cs="仿宋_GB2312"/>
          <w:b/>
          <w:color w:val="auto"/>
          <w:kern w:val="0"/>
          <w:sz w:val="32"/>
          <w:szCs w:val="32"/>
        </w:rPr>
        <w:t>新部署。</w:t>
      </w:r>
      <w:r>
        <w:rPr>
          <w:rFonts w:hint="eastAsia" w:ascii="仿宋_GB2312" w:hAnsi="仿宋_GB2312" w:eastAsia="仿宋_GB2312" w:cs="仿宋_GB2312"/>
          <w:bCs/>
          <w:color w:val="auto"/>
          <w:kern w:val="0"/>
          <w:sz w:val="32"/>
          <w:szCs w:val="32"/>
        </w:rPr>
        <w:t>党中央、国务院</w:t>
      </w:r>
      <w:r>
        <w:rPr>
          <w:rFonts w:hint="eastAsia" w:ascii="仿宋_GB2312" w:hAnsi="仿宋_GB2312" w:eastAsia="仿宋_GB2312" w:cs="仿宋_GB2312"/>
          <w:bCs/>
          <w:color w:val="auto"/>
          <w:kern w:val="0"/>
          <w:sz w:val="32"/>
          <w:szCs w:val="32"/>
          <w:lang w:eastAsia="zh-CN"/>
        </w:rPr>
        <w:t>和</w:t>
      </w:r>
      <w:r>
        <w:rPr>
          <w:rFonts w:hint="eastAsia" w:ascii="仿宋_GB2312" w:hAnsi="仿宋_GB2312" w:eastAsia="仿宋_GB2312" w:cs="仿宋_GB2312"/>
          <w:bCs/>
          <w:color w:val="auto"/>
          <w:kern w:val="0"/>
          <w:sz w:val="32"/>
          <w:szCs w:val="32"/>
        </w:rPr>
        <w:t>省委</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rPr>
        <w:t>省政府高度重视推进教育改革发展顶层设计，近年来就基础教育、职业教育、高等教育、教师队伍建设、教育督导、教育评价等出台纲领性文件，对今后一段时期教育改革与发展</w:t>
      </w:r>
      <w:r>
        <w:rPr>
          <w:rFonts w:hint="eastAsia" w:ascii="仿宋_GB2312" w:hAnsi="仿宋_GB2312" w:eastAsia="仿宋_GB2312" w:cs="仿宋_GB2312"/>
          <w:bCs/>
          <w:color w:val="auto"/>
          <w:kern w:val="0"/>
          <w:sz w:val="32"/>
          <w:szCs w:val="32"/>
          <w:shd w:val="clear" w:color="auto" w:fill="auto"/>
        </w:rPr>
        <w:t>作出</w:t>
      </w:r>
      <w:r>
        <w:rPr>
          <w:rFonts w:hint="eastAsia" w:ascii="仿宋_GB2312" w:hAnsi="仿宋_GB2312" w:eastAsia="仿宋_GB2312" w:cs="仿宋_GB2312"/>
          <w:bCs/>
          <w:color w:val="auto"/>
          <w:kern w:val="0"/>
          <w:sz w:val="32"/>
          <w:szCs w:val="32"/>
        </w:rPr>
        <w:t>全面部署。“十四五”时期，</w:t>
      </w:r>
      <w:r>
        <w:rPr>
          <w:rFonts w:hint="eastAsia" w:ascii="仿宋_GB2312" w:hAnsi="仿宋_GB2312" w:eastAsia="仿宋_GB2312" w:cs="仿宋_GB2312"/>
          <w:bCs/>
          <w:color w:val="auto"/>
          <w:kern w:val="0"/>
          <w:sz w:val="32"/>
          <w:szCs w:val="32"/>
          <w:lang w:eastAsia="zh-CN"/>
        </w:rPr>
        <w:t>我</w:t>
      </w:r>
      <w:r>
        <w:rPr>
          <w:rFonts w:hint="eastAsia" w:ascii="仿宋_GB2312" w:hAnsi="仿宋_GB2312" w:eastAsia="仿宋_GB2312" w:cs="仿宋_GB2312"/>
          <w:bCs/>
          <w:color w:val="auto"/>
          <w:kern w:val="0"/>
          <w:sz w:val="32"/>
          <w:szCs w:val="32"/>
        </w:rPr>
        <w:t>市</w:t>
      </w:r>
      <w:r>
        <w:rPr>
          <w:rFonts w:hint="eastAsia" w:ascii="仿宋_GB2312" w:hAnsi="仿宋_GB2312" w:eastAsia="仿宋_GB2312" w:cs="仿宋_GB2312"/>
          <w:color w:val="auto"/>
          <w:kern w:val="0"/>
          <w:sz w:val="32"/>
          <w:szCs w:val="32"/>
        </w:rPr>
        <w:t>坚定不移实施产业强市主导战略，坚持教育优先发展战略，将为</w:t>
      </w:r>
      <w:r>
        <w:rPr>
          <w:rFonts w:hint="eastAsia" w:ascii="仿宋_GB2312" w:hAnsi="仿宋_GB2312" w:eastAsia="仿宋_GB2312" w:cs="仿宋_GB2312"/>
          <w:color w:val="auto"/>
          <w:kern w:val="0"/>
          <w:sz w:val="32"/>
          <w:szCs w:val="32"/>
          <w:lang w:eastAsia="zh-CN"/>
        </w:rPr>
        <w:t>茂名</w:t>
      </w:r>
      <w:r>
        <w:rPr>
          <w:rFonts w:hint="eastAsia" w:ascii="仿宋_GB2312" w:hAnsi="仿宋_GB2312" w:eastAsia="仿宋_GB2312" w:cs="仿宋_GB2312"/>
          <w:color w:val="auto"/>
          <w:kern w:val="0"/>
          <w:sz w:val="32"/>
          <w:szCs w:val="32"/>
        </w:rPr>
        <w:t>教育高质量发展提供</w:t>
      </w:r>
      <w:r>
        <w:rPr>
          <w:rFonts w:hint="eastAsia" w:ascii="仿宋_GB2312" w:hAnsi="仿宋_GB2312" w:eastAsia="仿宋_GB2312" w:cs="仿宋_GB2312"/>
          <w:color w:val="auto"/>
          <w:kern w:val="0"/>
          <w:sz w:val="32"/>
          <w:szCs w:val="32"/>
          <w:lang w:eastAsia="zh-CN"/>
        </w:rPr>
        <w:t>明确指引</w:t>
      </w:r>
      <w:r>
        <w:rPr>
          <w:rFonts w:hint="eastAsia" w:ascii="仿宋_GB2312" w:hAnsi="仿宋_GB2312" w:eastAsia="仿宋_GB2312" w:cs="仿宋_GB2312"/>
          <w:color w:val="auto"/>
          <w:kern w:val="0"/>
          <w:sz w:val="32"/>
          <w:szCs w:val="32"/>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茂名发展战略定位对教育提出新要求。</w:t>
      </w:r>
      <w:r>
        <w:rPr>
          <w:rFonts w:hint="eastAsia" w:ascii="仿宋_GB2312" w:hAnsi="仿宋_GB2312" w:eastAsia="仿宋_GB2312" w:cs="仿宋_GB2312"/>
          <w:color w:val="auto"/>
          <w:kern w:val="0"/>
          <w:sz w:val="32"/>
          <w:szCs w:val="32"/>
        </w:rPr>
        <w:t>茂名地处粤港澳大湾区、北部湾城市群、海南自由贸易港三大国家战略交汇处，融入这三大战略具有时空及地域优势。随着“一</w:t>
      </w:r>
      <w:r>
        <w:rPr>
          <w:rFonts w:hint="eastAsia" w:ascii="仿宋_GB2312" w:hAnsi="仿宋_GB2312" w:eastAsia="仿宋_GB2312" w:cs="仿宋_GB2312"/>
          <w:color w:val="auto"/>
          <w:kern w:val="0"/>
          <w:sz w:val="32"/>
          <w:szCs w:val="32"/>
          <w:shd w:val="clear" w:color="auto" w:fill="auto"/>
        </w:rPr>
        <w:t>核</w:t>
      </w:r>
      <w:r>
        <w:rPr>
          <w:rFonts w:hint="eastAsia" w:ascii="仿宋_GB2312" w:hAnsi="仿宋_GB2312" w:eastAsia="仿宋_GB2312" w:cs="仿宋_GB2312"/>
          <w:color w:val="auto"/>
          <w:kern w:val="0"/>
          <w:sz w:val="32"/>
          <w:szCs w:val="32"/>
        </w:rPr>
        <w:t>一带一区”区域发展格局战略的深入实施，茂名将面临国家和省催生新业态的政策机遇期，有利于发挥后发优势，建设产业实力雄厚的现代化滨海城市，打造沿海经济带上的新增长极。茂名发展战略定位，对教育事业改革与发展提出了更高的要求。</w:t>
      </w:r>
    </w:p>
    <w:p>
      <w:pPr>
        <w:pStyle w:val="2"/>
        <w:pageBreakBefore w:val="0"/>
        <w:widowControl w:val="0"/>
        <w:kinsoku/>
        <w:wordWrap/>
        <w:overflowPunct/>
        <w:topLinePunct w:val="0"/>
        <w:autoSpaceDE/>
        <w:autoSpaceDN/>
        <w:bidi w:val="0"/>
        <w:adjustRightInd/>
        <w:snapToGrid/>
        <w:spacing w:line="560" w:lineRule="exact"/>
        <w:ind w:left="0" w:leftChars="0" w:firstLine="624" w:firstLineChars="200"/>
        <w:textAlignment w:val="auto"/>
        <w:rPr>
          <w:rFonts w:hint="eastAsia" w:ascii="仿宋_GB2312" w:hAnsi="仿宋_GB2312" w:eastAsia="仿宋_GB2312" w:cs="仿宋_GB2312"/>
          <w:color w:val="auto"/>
          <w:spacing w:val="-4"/>
          <w:kern w:val="0"/>
          <w:sz w:val="32"/>
          <w:szCs w:val="32"/>
        </w:rPr>
      </w:pPr>
      <w:r>
        <w:rPr>
          <w:rFonts w:hint="eastAsia" w:ascii="仿宋_GB2312" w:hAnsi="仿宋_GB2312" w:eastAsia="仿宋_GB2312" w:cs="仿宋_GB2312"/>
          <w:b/>
          <w:bCs/>
          <w:color w:val="auto"/>
          <w:spacing w:val="-4"/>
          <w:kern w:val="0"/>
          <w:sz w:val="32"/>
          <w:szCs w:val="32"/>
        </w:rPr>
        <w:t>人民群众对教育发展寄予新期待。</w:t>
      </w:r>
      <w:r>
        <w:rPr>
          <w:rFonts w:hint="eastAsia" w:ascii="仿宋_GB2312" w:hAnsi="仿宋_GB2312" w:eastAsia="仿宋_GB2312" w:cs="仿宋_GB2312"/>
          <w:color w:val="auto"/>
          <w:spacing w:val="-4"/>
          <w:kern w:val="0"/>
          <w:sz w:val="32"/>
          <w:szCs w:val="32"/>
        </w:rPr>
        <w:t>办好人民满意的教育，事关千家万户。当前，人民群众对优质教育资源</w:t>
      </w:r>
      <w:r>
        <w:rPr>
          <w:rFonts w:hint="eastAsia" w:ascii="仿宋_GB2312" w:hAnsi="仿宋_GB2312" w:eastAsia="仿宋_GB2312" w:cs="仿宋_GB2312"/>
          <w:color w:val="auto"/>
          <w:spacing w:val="-4"/>
          <w:kern w:val="0"/>
          <w:sz w:val="32"/>
          <w:szCs w:val="32"/>
          <w:lang w:eastAsia="zh-CN"/>
        </w:rPr>
        <w:t>的</w:t>
      </w:r>
      <w:r>
        <w:rPr>
          <w:rFonts w:hint="eastAsia" w:ascii="仿宋_GB2312" w:hAnsi="仿宋_GB2312" w:eastAsia="仿宋_GB2312" w:cs="仿宋_GB2312"/>
          <w:color w:val="auto"/>
          <w:spacing w:val="-4"/>
          <w:kern w:val="0"/>
          <w:sz w:val="32"/>
          <w:szCs w:val="32"/>
        </w:rPr>
        <w:t>需求日益增长，“上好学”“入</w:t>
      </w:r>
      <w:r>
        <w:rPr>
          <w:rFonts w:hint="eastAsia" w:ascii="仿宋_GB2312" w:hAnsi="仿宋_GB2312" w:eastAsia="仿宋_GB2312" w:cs="仿宋_GB2312"/>
          <w:color w:val="auto"/>
          <w:spacing w:val="-4"/>
          <w:kern w:val="0"/>
          <w:sz w:val="32"/>
          <w:szCs w:val="32"/>
          <w:shd w:val="clear" w:color="auto" w:fill="auto"/>
        </w:rPr>
        <w:t>好</w:t>
      </w:r>
      <w:r>
        <w:rPr>
          <w:rFonts w:hint="eastAsia" w:ascii="仿宋_GB2312" w:hAnsi="仿宋_GB2312" w:eastAsia="仿宋_GB2312" w:cs="仿宋_GB2312"/>
          <w:color w:val="auto"/>
          <w:spacing w:val="-4"/>
          <w:kern w:val="0"/>
          <w:sz w:val="32"/>
          <w:szCs w:val="32"/>
        </w:rPr>
        <w:t>园”等需求已成为人民群众反映强烈、社会普遍关注的热点问题，而我市教育发展不平衡不充分的问题还比较突出，优质教育尚未能完全满足人民群众的需求。这需要茂名教育今后着力解决，以不断满足人民群众对教育的新期待。</w:t>
      </w:r>
    </w:p>
    <w:p>
      <w:pPr>
        <w:rPr>
          <w:rFonts w:hint="eastAsia" w:ascii="仿宋_GB2312" w:hAnsi="仿宋_GB2312" w:eastAsia="仿宋_GB2312" w:cs="仿宋_GB2312"/>
          <w:color w:val="auto"/>
          <w:kern w:val="0"/>
          <w:sz w:val="32"/>
          <w:szCs w:val="32"/>
        </w:rPr>
      </w:pPr>
      <w:r>
        <w:rPr>
          <w:rFonts w:hint="eastAsia" w:hAnsi="仿宋_GB2312" w:cs="仿宋_GB2312"/>
          <w:color w:val="auto"/>
          <w:kern w:val="0"/>
          <w:sz w:val="32"/>
          <w:szCs w:val="32"/>
          <w:lang w:val="en-US" w:eastAsia="zh-CN"/>
        </w:rPr>
        <w:t xml:space="preserve">    </w:t>
      </w:r>
      <w:r>
        <w:rPr>
          <w:rFonts w:hint="eastAsia" w:ascii="仿宋_GB2312" w:hAnsi="仿宋_GB2312" w:eastAsia="仿宋_GB2312" w:cs="仿宋_GB2312"/>
          <w:color w:val="auto"/>
          <w:spacing w:val="-3"/>
          <w:kern w:val="0"/>
          <w:sz w:val="32"/>
          <w:szCs w:val="32"/>
        </w:rPr>
        <w:t>对照国家、省、市教育发展战略要求和人民群众期待，茂名教育还存在一些亟待解决的问题。比如，</w:t>
      </w:r>
      <w:r>
        <w:rPr>
          <w:rFonts w:hint="eastAsia" w:ascii="仿宋_GB2312" w:hAnsi="仿宋_GB2312" w:eastAsia="仿宋_GB2312" w:cs="仿宋_GB2312"/>
          <w:bCs/>
          <w:color w:val="auto"/>
          <w:spacing w:val="-3"/>
          <w:kern w:val="0"/>
          <w:sz w:val="32"/>
          <w:szCs w:val="32"/>
        </w:rPr>
        <w:t>教育资源配置与城镇化进程</w:t>
      </w:r>
      <w:r>
        <w:rPr>
          <w:rFonts w:hint="eastAsia" w:ascii="仿宋_GB2312" w:hAnsi="仿宋_GB2312" w:eastAsia="仿宋_GB2312" w:cs="仿宋_GB2312"/>
          <w:spacing w:val="-3"/>
        </w:rPr>
        <w:t>不够协调，优质教育资源总量不足，城区基础教育公办学位供给紧张，</w:t>
      </w:r>
      <w:r>
        <w:rPr>
          <w:rFonts w:hint="eastAsia" w:ascii="仿宋_GB2312" w:hAnsi="仿宋_GB2312" w:eastAsia="仿宋_GB2312" w:cs="仿宋_GB2312"/>
          <w:spacing w:val="-3"/>
          <w:lang w:eastAsia="zh-CN"/>
        </w:rPr>
        <w:t>学校</w:t>
      </w:r>
      <w:r>
        <w:rPr>
          <w:rFonts w:hint="eastAsia" w:ascii="仿宋_GB2312" w:hAnsi="仿宋_GB2312" w:eastAsia="仿宋_GB2312" w:cs="仿宋_GB2312"/>
          <w:spacing w:val="-3"/>
        </w:rPr>
        <w:t>间教育水平差距较大；教师队伍结构和素质未能适应教育高质量发展要求，特殊教育学校专业教师、农村公办幼儿园专任教师和小学音乐、美术、体育等学科教师</w:t>
      </w:r>
      <w:r>
        <w:rPr>
          <w:rFonts w:hint="eastAsia" w:ascii="仿宋_GB2312" w:hAnsi="仿宋_GB2312" w:eastAsia="仿宋_GB2312" w:cs="仿宋_GB2312"/>
          <w:spacing w:val="-3"/>
          <w:lang w:eastAsia="zh-CN"/>
        </w:rPr>
        <w:t>缺额较大</w:t>
      </w:r>
      <w:r>
        <w:rPr>
          <w:rFonts w:hint="eastAsia" w:ascii="仿宋_GB2312" w:hAnsi="仿宋_GB2312" w:eastAsia="仿宋_GB2312" w:cs="仿宋_GB2312"/>
          <w:spacing w:val="-3"/>
        </w:rPr>
        <w:t>规划建设联动不足，部分区、县级市教育建设专项规划未明确规划年限内的建设用地安排</w:t>
      </w:r>
      <w:r>
        <w:rPr>
          <w:rFonts w:hint="eastAsia" w:ascii="仿宋_GB2312" w:hAnsi="仿宋_GB2312" w:eastAsia="仿宋_GB2312" w:cs="仿宋_GB2312"/>
          <w:spacing w:val="-3"/>
          <w:lang w:eastAsia="zh-CN"/>
        </w:rPr>
        <w:t>，未</w:t>
      </w:r>
      <w:r>
        <w:rPr>
          <w:rFonts w:hint="eastAsia" w:ascii="仿宋_GB2312" w:hAnsi="仿宋_GB2312" w:eastAsia="仿宋_GB2312" w:cs="仿宋_GB2312"/>
          <w:spacing w:val="-3"/>
        </w:rPr>
        <w:t>确定分年度重点建设项目及其空间分布、建设时序，难以实现专项规划与</w:t>
      </w:r>
      <w:r>
        <w:rPr>
          <w:rFonts w:hint="eastAsia" w:ascii="仿宋_GB2312" w:hAnsi="仿宋_GB2312" w:eastAsia="仿宋_GB2312" w:cs="仿宋_GB2312"/>
          <w:spacing w:val="-3"/>
          <w:lang w:eastAsia="zh-CN"/>
        </w:rPr>
        <w:t>空间</w:t>
      </w:r>
      <w:r>
        <w:rPr>
          <w:rFonts w:hint="eastAsia" w:ascii="仿宋_GB2312" w:hAnsi="仿宋_GB2312" w:eastAsia="仿宋_GB2312" w:cs="仿宋_GB2312"/>
          <w:spacing w:val="-3"/>
        </w:rPr>
        <w:t>规划等规划的协调统一；统筹管理力度不够，县级政府为主，乡（镇）级</w:t>
      </w:r>
      <w:r>
        <w:rPr>
          <w:rFonts w:hint="eastAsia" w:ascii="仿宋_GB2312" w:hAnsi="仿宋_GB2312" w:eastAsia="仿宋_GB2312" w:cs="仿宋_GB2312"/>
          <w:color w:val="auto"/>
          <w:spacing w:val="-3"/>
          <w:kern w:val="0"/>
          <w:sz w:val="32"/>
          <w:szCs w:val="32"/>
        </w:rPr>
        <w:t>政府、街道办事处参与的各级教育办学机构统筹管理的属地责任</w:t>
      </w:r>
      <w:r>
        <w:rPr>
          <w:rFonts w:hint="eastAsia" w:ascii="仿宋_GB2312" w:hAnsi="仿宋_GB2312" w:eastAsia="仿宋_GB2312" w:cs="仿宋_GB2312"/>
          <w:color w:val="auto"/>
          <w:spacing w:val="-3"/>
          <w:kern w:val="0"/>
          <w:sz w:val="32"/>
          <w:szCs w:val="32"/>
          <w:lang w:eastAsia="zh-CN"/>
        </w:rPr>
        <w:t>落实</w:t>
      </w:r>
      <w:r>
        <w:rPr>
          <w:rFonts w:hint="eastAsia" w:ascii="仿宋_GB2312" w:hAnsi="仿宋_GB2312" w:eastAsia="仿宋_GB2312" w:cs="仿宋_GB2312"/>
          <w:color w:val="auto"/>
          <w:spacing w:val="-3"/>
          <w:kern w:val="0"/>
          <w:sz w:val="32"/>
          <w:szCs w:val="32"/>
        </w:rPr>
        <w:t>不够到位，对民办学校、校外教育培训机构监管力度不够</w:t>
      </w:r>
      <w:r>
        <w:rPr>
          <w:rFonts w:hint="eastAsia" w:ascii="仿宋_GB2312" w:hAnsi="仿宋_GB2312" w:eastAsia="仿宋_GB2312" w:cs="仿宋_GB2312"/>
          <w:color w:val="auto"/>
          <w:spacing w:val="-3"/>
          <w:kern w:val="0"/>
          <w:sz w:val="32"/>
          <w:szCs w:val="32"/>
          <w:lang w:eastAsia="zh-CN"/>
        </w:rPr>
        <w:t>大</w:t>
      </w:r>
      <w:r>
        <w:rPr>
          <w:rFonts w:hint="eastAsia" w:ascii="仿宋_GB2312" w:hAnsi="仿宋_GB2312" w:eastAsia="仿宋_GB2312" w:cs="仿宋_GB2312"/>
          <w:color w:val="auto"/>
          <w:spacing w:val="-3"/>
          <w:kern w:val="0"/>
          <w:sz w:val="32"/>
          <w:szCs w:val="32"/>
        </w:rPr>
        <w:t>等。</w:t>
      </w:r>
    </w:p>
    <w:p>
      <w:pPr>
        <w:pStyle w:val="2"/>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对此，茂名教育必须主动适应新形势新任务新要求，遵循教育规律，以落实立德</w:t>
      </w:r>
      <w:r>
        <w:rPr>
          <w:rFonts w:hint="eastAsia" w:ascii="仿宋_GB2312" w:hAnsi="仿宋_GB2312" w:eastAsia="仿宋_GB2312" w:cs="仿宋_GB2312"/>
          <w:color w:val="auto"/>
          <w:kern w:val="0"/>
          <w:sz w:val="32"/>
          <w:szCs w:val="32"/>
          <w:shd w:val="clear" w:color="auto" w:fill="auto"/>
        </w:rPr>
        <w:t>树</w:t>
      </w:r>
      <w:r>
        <w:rPr>
          <w:rFonts w:hint="eastAsia" w:ascii="仿宋_GB2312" w:hAnsi="仿宋_GB2312" w:eastAsia="仿宋_GB2312" w:cs="仿宋_GB2312"/>
          <w:color w:val="auto"/>
          <w:kern w:val="0"/>
          <w:sz w:val="32"/>
          <w:szCs w:val="32"/>
        </w:rPr>
        <w:t>人为根本任务，以深化改革为根本动力，以办好人民满意的教育为根本目的，推动教育发展更加公平、更高质量、更富特色、更有效益发展。</w:t>
      </w:r>
    </w:p>
    <w:p>
      <w:pPr>
        <w:pStyle w:val="2"/>
        <w:ind w:left="0" w:leftChars="0" w:firstLine="0" w:firstLineChars="0"/>
        <w:rPr>
          <w:rFonts w:ascii="方正小标宋简体" w:hAnsi="方正小标宋简体" w:eastAsia="方正小标宋简体" w:cs="方正小标宋简体"/>
          <w:b w:val="0"/>
          <w:color w:val="auto"/>
          <w:kern w:val="0"/>
          <w:sz w:val="36"/>
          <w:szCs w:val="36"/>
        </w:rPr>
      </w:pPr>
      <w:r>
        <w:rPr>
          <w:rFonts w:hint="eastAsia" w:ascii="仿宋_GB2312" w:hAnsi="仿宋_GB2312" w:eastAsia="仿宋_GB2312" w:cs="仿宋_GB2312"/>
          <w:color w:val="auto"/>
          <w:kern w:val="0"/>
          <w:sz w:val="32"/>
          <w:szCs w:val="32"/>
        </w:rPr>
        <w:br w:type="page"/>
      </w:r>
      <w:bookmarkStart w:id="22" w:name="_Toc648828807_WPSOffice_Level1"/>
      <w:bookmarkStart w:id="23" w:name="_Toc98694795"/>
      <w:bookmarkStart w:id="24" w:name="_Toc863871211_WPSOffice_Level2"/>
      <w:r>
        <w:rPr>
          <w:rFonts w:hint="eastAsia" w:ascii="方正小标宋简体" w:hAnsi="方正小标宋简体" w:eastAsia="方正小标宋简体" w:cs="方正小标宋简体"/>
          <w:b w:val="0"/>
          <w:color w:val="auto"/>
          <w:kern w:val="0"/>
          <w:sz w:val="36"/>
          <w:szCs w:val="36"/>
        </w:rPr>
        <w:t>第二章 把握总体战略，</w:t>
      </w:r>
      <w:r>
        <w:rPr>
          <w:rFonts w:hint="eastAsia" w:ascii="方正小标宋简体" w:hAnsi="方正小标宋简体" w:eastAsia="方正小标宋简体" w:cs="方正小标宋简体"/>
          <w:b w:val="0"/>
          <w:color w:val="auto"/>
          <w:kern w:val="0"/>
          <w:sz w:val="36"/>
          <w:szCs w:val="36"/>
          <w:shd w:val="clear" w:color="auto" w:fill="auto"/>
        </w:rPr>
        <w:t>锚</w:t>
      </w:r>
      <w:r>
        <w:rPr>
          <w:rFonts w:hint="eastAsia" w:ascii="方正小标宋简体" w:hAnsi="方正小标宋简体" w:eastAsia="方正小标宋简体" w:cs="方正小标宋简体"/>
          <w:b w:val="0"/>
          <w:color w:val="auto"/>
          <w:kern w:val="0"/>
          <w:sz w:val="36"/>
          <w:szCs w:val="36"/>
        </w:rPr>
        <w:t>定目标开启教育事业新征程</w:t>
      </w:r>
      <w:bookmarkEnd w:id="22"/>
      <w:bookmarkEnd w:id="23"/>
    </w:p>
    <w:p>
      <w:pPr>
        <w:pStyle w:val="4"/>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cs="黑体"/>
          <w:b w:val="0"/>
          <w:bCs w:val="0"/>
          <w:color w:val="auto"/>
          <w:kern w:val="0"/>
        </w:rPr>
      </w:pPr>
      <w:bookmarkStart w:id="25" w:name="_Toc98694796"/>
      <w:bookmarkStart w:id="26" w:name="_Toc1954984112_WPSOffice_Level2"/>
      <w:r>
        <w:rPr>
          <w:rFonts w:hint="eastAsia" w:ascii="黑体" w:hAnsi="黑体" w:eastAsia="黑体" w:cs="黑体"/>
          <w:b w:val="0"/>
          <w:bCs w:val="0"/>
          <w:color w:val="auto"/>
          <w:kern w:val="0"/>
        </w:rPr>
        <w:t>第一节 指导思想</w:t>
      </w:r>
      <w:bookmarkEnd w:id="24"/>
      <w:bookmarkEnd w:id="25"/>
      <w:bookmarkEnd w:id="26"/>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坚持以习近平新时代中国特色社会主义思想为指导，深入贯彻党的十九大和十九届</w:t>
      </w:r>
      <w:r>
        <w:rPr>
          <w:rFonts w:hint="eastAsia" w:ascii="仿宋_GB2312" w:hAnsi="仿宋_GB2312" w:eastAsia="仿宋_GB2312" w:cs="仿宋_GB2312"/>
          <w:color w:val="auto"/>
          <w:kern w:val="0"/>
          <w:sz w:val="32"/>
          <w:szCs w:val="32"/>
          <w:lang w:eastAsia="zh-CN"/>
        </w:rPr>
        <w:t>历次</w:t>
      </w:r>
      <w:r>
        <w:rPr>
          <w:rFonts w:hint="eastAsia" w:ascii="仿宋_GB2312" w:hAnsi="仿宋_GB2312" w:eastAsia="仿宋_GB2312" w:cs="仿宋_GB2312"/>
          <w:color w:val="auto"/>
          <w:kern w:val="0"/>
          <w:sz w:val="32"/>
          <w:szCs w:val="32"/>
        </w:rPr>
        <w:t>全会精神，全面贯彻党的教育方针和习近平总书记关于教育的重要论述，紧扣市委“1+4+6”工作布局，以推动教育高质量发展为主题，培养造就大批德智体美劳全面发展的社会主义建设者和接班人，为茂名建设产业实力雄厚的现代化滨海城市</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打造沿海经济带上的新增</w:t>
      </w:r>
      <w:r>
        <w:rPr>
          <w:rFonts w:hint="eastAsia" w:ascii="仿宋_GB2312" w:hAnsi="仿宋_GB2312" w:eastAsia="仿宋_GB2312" w:cs="仿宋_GB2312"/>
          <w:color w:val="auto"/>
          <w:kern w:val="0"/>
          <w:sz w:val="32"/>
          <w:szCs w:val="32"/>
          <w:lang w:val="zh-TW" w:eastAsia="zh-TW" w:bidi="zh-TW"/>
        </w:rPr>
        <w:t>长极提供人</w:t>
      </w:r>
      <w:r>
        <w:rPr>
          <w:rFonts w:hint="eastAsia" w:ascii="仿宋_GB2312" w:hAnsi="仿宋_GB2312" w:eastAsia="仿宋_GB2312" w:cs="仿宋_GB2312"/>
          <w:color w:val="auto"/>
          <w:kern w:val="0"/>
          <w:sz w:val="32"/>
          <w:szCs w:val="32"/>
        </w:rPr>
        <w:t>才支撑。</w:t>
      </w:r>
    </w:p>
    <w:p>
      <w:pPr>
        <w:pStyle w:val="4"/>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cs="黑体"/>
          <w:b w:val="0"/>
          <w:bCs w:val="0"/>
          <w:color w:val="auto"/>
          <w:kern w:val="0"/>
        </w:rPr>
      </w:pPr>
      <w:bookmarkStart w:id="27" w:name="_Toc1137724732_WPSOffice_Level2"/>
      <w:bookmarkStart w:id="28" w:name="_Toc123588211_WPSOffice_Level2"/>
      <w:bookmarkStart w:id="29" w:name="_Toc98694797"/>
      <w:r>
        <w:rPr>
          <w:rFonts w:hint="eastAsia" w:ascii="黑体" w:hAnsi="黑体" w:eastAsia="黑体" w:cs="黑体"/>
          <w:b w:val="0"/>
          <w:bCs w:val="0"/>
          <w:color w:val="auto"/>
          <w:kern w:val="0"/>
        </w:rPr>
        <w:t>第二节 基本原则</w:t>
      </w:r>
      <w:bookmarkEnd w:id="27"/>
      <w:bookmarkEnd w:id="28"/>
      <w:bookmarkEnd w:id="29"/>
    </w:p>
    <w:p>
      <w:pPr>
        <w:pStyle w:val="15"/>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bookmarkStart w:id="30" w:name="bookmark17"/>
      <w:bookmarkEnd w:id="30"/>
      <w:r>
        <w:rPr>
          <w:rFonts w:hint="eastAsia" w:ascii="仿宋_GB2312" w:hAnsi="仿宋_GB2312" w:eastAsia="仿宋_GB2312" w:cs="仿宋_GB2312"/>
          <w:b/>
          <w:bCs/>
          <w:color w:val="auto"/>
          <w:kern w:val="0"/>
          <w:sz w:val="32"/>
          <w:szCs w:val="32"/>
        </w:rPr>
        <w:t>坚持党的全面领导。</w:t>
      </w:r>
      <w:r>
        <w:rPr>
          <w:rFonts w:hint="eastAsia" w:ascii="仿宋_GB2312" w:hAnsi="仿宋_GB2312" w:eastAsia="仿宋_GB2312" w:cs="仿宋_GB2312"/>
          <w:color w:val="auto"/>
          <w:kern w:val="0"/>
          <w:sz w:val="32"/>
          <w:szCs w:val="32"/>
        </w:rPr>
        <w:t>将加强党的领导作为推进教育高质量发展的根本保证，落实全面从严治党主体责任</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坚持社会主义办学方向</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落实立德树人根本任务，加强学校思想政治工作，落实意识形态工作责任制，凝聚推进教育高质量发展正能量。</w:t>
      </w:r>
    </w:p>
    <w:p>
      <w:pPr>
        <w:pStyle w:val="15"/>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坚持以人民为中心。</w:t>
      </w:r>
      <w:r>
        <w:rPr>
          <w:rFonts w:hint="eastAsia" w:ascii="仿宋_GB2312" w:hAnsi="仿宋_GB2312" w:eastAsia="仿宋_GB2312" w:cs="仿宋_GB2312"/>
          <w:color w:val="auto"/>
          <w:kern w:val="0"/>
          <w:sz w:val="32"/>
          <w:szCs w:val="32"/>
        </w:rPr>
        <w:t>坚持教育公益性原则，着力构建优质均衡的基本公共教育服务体系，建设高质量教育体系</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促进学生德智体美劳全面发展，构建平等面向每个人、适合每个人、伴随每个人一生的教育体系，办好同人民群众期待相契合的新时代教育。</w:t>
      </w:r>
    </w:p>
    <w:p>
      <w:pPr>
        <w:pStyle w:val="15"/>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坚持新发展理念。</w:t>
      </w:r>
      <w:r>
        <w:rPr>
          <w:rFonts w:hint="eastAsia" w:ascii="仿宋_GB2312" w:hAnsi="仿宋_GB2312" w:eastAsia="仿宋_GB2312" w:cs="仿宋_GB2312"/>
          <w:color w:val="auto"/>
          <w:kern w:val="0"/>
          <w:sz w:val="32"/>
          <w:szCs w:val="32"/>
        </w:rPr>
        <w:t>把新发展理念贯穿教育发展全过程和各领域，聚焦教师队伍建设和公办优质学位供给，把师资队伍作为教育发展的第一资源。坚持质量为先、内涵发展，强化学校教育的主阵地作用。深化创新驱动发展战略，增强教育发展的整体性、协同性、系统性，创造良好的教育发展环境，让人民群众共享教育发展成果。</w:t>
      </w:r>
    </w:p>
    <w:p>
      <w:pPr>
        <w:pStyle w:val="15"/>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b/>
          <w:bCs/>
          <w:color w:val="auto"/>
          <w:kern w:val="0"/>
          <w:sz w:val="32"/>
          <w:szCs w:val="32"/>
        </w:rPr>
        <w:t>坚持深化改革开放</w:t>
      </w: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color w:val="auto"/>
          <w:kern w:val="0"/>
          <w:sz w:val="32"/>
          <w:szCs w:val="32"/>
        </w:rPr>
        <w:t>把深化教育领域综合改革作为推进教育高质量发展的根本动力，破除制约高质量发展</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rPr>
        <w:t>体制机制</w:t>
      </w:r>
      <w:r>
        <w:rPr>
          <w:rFonts w:hint="eastAsia" w:ascii="仿宋_GB2312" w:hAnsi="仿宋_GB2312" w:eastAsia="仿宋_GB2312" w:cs="仿宋_GB2312"/>
          <w:color w:val="auto"/>
          <w:kern w:val="0"/>
          <w:sz w:val="32"/>
          <w:szCs w:val="32"/>
          <w:lang w:eastAsia="zh-CN"/>
        </w:rPr>
        <w:t>障碍，</w:t>
      </w:r>
      <w:r>
        <w:rPr>
          <w:rFonts w:hint="eastAsia" w:ascii="仿宋_GB2312" w:hAnsi="仿宋_GB2312" w:eastAsia="仿宋_GB2312" w:cs="仿宋_GB2312"/>
          <w:color w:val="auto"/>
          <w:kern w:val="0"/>
          <w:sz w:val="32"/>
          <w:szCs w:val="32"/>
        </w:rPr>
        <w:t>激发教育发展的内生动力和活力。深化教育交流与合作，加快和扩大教育对外开放，优化教育结构体系，丰富优质教育资源，创新育人方式、办学模式、管理体制、保障机制</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培育教育新形态</w:t>
      </w:r>
      <w:r>
        <w:rPr>
          <w:rFonts w:hint="eastAsia" w:ascii="仿宋_GB2312" w:hAnsi="仿宋_GB2312" w:eastAsia="仿宋_GB2312" w:cs="仿宋_GB2312"/>
          <w:color w:val="auto"/>
          <w:kern w:val="0"/>
          <w:sz w:val="32"/>
          <w:szCs w:val="32"/>
          <w:lang w:eastAsia="zh-CN"/>
        </w:rPr>
        <w:t>。</w:t>
      </w:r>
    </w:p>
    <w:p>
      <w:pPr>
        <w:pStyle w:val="15"/>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坚持系统思维。</w:t>
      </w:r>
      <w:r>
        <w:rPr>
          <w:rFonts w:hint="eastAsia" w:ascii="仿宋_GB2312" w:hAnsi="仿宋_GB2312" w:eastAsia="仿宋_GB2312" w:cs="仿宋_GB2312"/>
          <w:color w:val="auto"/>
          <w:kern w:val="0"/>
          <w:sz w:val="32"/>
          <w:szCs w:val="32"/>
        </w:rPr>
        <w:t>将推进教育高质量发展置于经济社会发展大局中审视，统筹推进教育理念、制度、内容、方法、治理现代化，推进教育体系与产业体系、社会体系、科技体系有效对接，推动普通教育和职业教育、学历教育和非学历教育互相促进、有机衔接。</w:t>
      </w:r>
    </w:p>
    <w:p>
      <w:pPr>
        <w:pStyle w:val="4"/>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cs="黑体"/>
          <w:b w:val="0"/>
          <w:bCs w:val="0"/>
          <w:color w:val="auto"/>
          <w:kern w:val="0"/>
        </w:rPr>
      </w:pPr>
      <w:bookmarkStart w:id="31" w:name="_Toc957320632_WPSOffice_Level2"/>
      <w:bookmarkStart w:id="32" w:name="_Toc98694798"/>
      <w:bookmarkStart w:id="33" w:name="_Toc842852618_WPSOffice_Level2"/>
      <w:r>
        <w:rPr>
          <w:rFonts w:hint="eastAsia" w:ascii="黑体" w:hAnsi="黑体" w:eastAsia="黑体" w:cs="黑体"/>
          <w:b w:val="0"/>
          <w:bCs w:val="0"/>
          <w:color w:val="auto"/>
          <w:kern w:val="0"/>
        </w:rPr>
        <w:t>第三节 发展目标</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到2025年，</w:t>
      </w:r>
      <w:r>
        <w:rPr>
          <w:rFonts w:hint="eastAsia" w:ascii="仿宋_GB2312" w:hAnsi="仿宋_GB2312" w:eastAsia="仿宋_GB2312" w:cs="仿宋_GB2312"/>
          <w:color w:val="auto"/>
          <w:kern w:val="0"/>
          <w:sz w:val="32"/>
          <w:szCs w:val="32"/>
          <w:lang w:eastAsia="zh-CN"/>
        </w:rPr>
        <w:t>全民受教育程度显著提升，</w:t>
      </w:r>
      <w:r>
        <w:rPr>
          <w:rFonts w:hint="eastAsia" w:ascii="仿宋_GB2312" w:hAnsi="仿宋_GB2312" w:eastAsia="仿宋_GB2312" w:cs="仿宋_GB2312"/>
          <w:color w:val="auto"/>
          <w:kern w:val="0"/>
          <w:sz w:val="32"/>
          <w:szCs w:val="32"/>
        </w:rPr>
        <w:t>全市教育综合实力、整体竞争力达到省内</w:t>
      </w:r>
      <w:r>
        <w:rPr>
          <w:rFonts w:hint="eastAsia" w:ascii="仿宋_GB2312" w:hAnsi="仿宋_GB2312" w:eastAsia="仿宋_GB2312" w:cs="仿宋_GB2312"/>
          <w:color w:val="auto"/>
          <w:kern w:val="0"/>
          <w:sz w:val="32"/>
          <w:szCs w:val="32"/>
          <w:lang w:eastAsia="zh-CN"/>
        </w:rPr>
        <w:t>先进地区</w:t>
      </w:r>
      <w:r>
        <w:rPr>
          <w:rFonts w:hint="eastAsia" w:ascii="仿宋_GB2312" w:hAnsi="仿宋_GB2312" w:eastAsia="仿宋_GB2312" w:cs="仿宋_GB2312"/>
          <w:color w:val="auto"/>
          <w:kern w:val="0"/>
          <w:sz w:val="32"/>
          <w:szCs w:val="32"/>
        </w:rPr>
        <w:t>水平。</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b/>
          <w:bCs/>
          <w:color w:val="auto"/>
          <w:kern w:val="0"/>
          <w:sz w:val="32"/>
          <w:szCs w:val="32"/>
          <w:highlight w:val="none"/>
          <w:lang w:eastAsia="zh-CN"/>
        </w:rPr>
        <w:t>立德树人成效实现提升。</w:t>
      </w:r>
      <w:r>
        <w:rPr>
          <w:rFonts w:hint="eastAsia" w:ascii="仿宋_GB2312" w:hAnsi="仿宋_GB2312" w:eastAsia="仿宋_GB2312" w:cs="仿宋_GB2312"/>
          <w:color w:val="auto"/>
          <w:kern w:val="0"/>
          <w:sz w:val="32"/>
          <w:szCs w:val="32"/>
          <w:highlight w:val="none"/>
          <w:lang w:eastAsia="zh-CN"/>
        </w:rPr>
        <w:t>德智体美劳全面培养的教育体系更加健全，大中小幼一体化的思想政治工作体系更加完善，素质教育全面发展，育人途径和方法进一步完善，学生文明素养、社会责任意识、实践本领进一步增强。学校家庭社会协同育人机制更加健全，科学的教育观念更加深入人心，青少年儿童健康成长的良好教育生态基本形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基础教育高质量发展。</w:t>
      </w:r>
      <w:r>
        <w:rPr>
          <w:rFonts w:hint="eastAsia" w:ascii="仿宋_GB2312" w:hAnsi="仿宋_GB2312" w:eastAsia="仿宋_GB2312" w:cs="仿宋_GB2312"/>
          <w:color w:val="auto"/>
          <w:kern w:val="0"/>
          <w:sz w:val="32"/>
          <w:szCs w:val="32"/>
        </w:rPr>
        <w:t>“5080”攻坚工程成果进一步巩固提升，乡镇中心幼儿园、行政村级幼儿园覆盖率达100%，规范化幼儿园覆盖率达85%以上。在2020年基础上新增约1.81万个公办幼儿园学位</w:t>
      </w:r>
      <w:r>
        <w:rPr>
          <w:rFonts w:hint="eastAsia" w:ascii="仿宋_GB2312" w:hAnsi="仿宋_GB2312" w:eastAsia="仿宋_GB2312" w:cs="仿宋_GB2312"/>
          <w:color w:val="auto"/>
          <w:kern w:val="0"/>
          <w:sz w:val="32"/>
          <w:szCs w:val="32"/>
          <w:lang w:eastAsia="zh-CN"/>
        </w:rPr>
        <w:t>（不含购买学位）</w:t>
      </w:r>
      <w:r>
        <w:rPr>
          <w:rFonts w:hint="eastAsia" w:ascii="仿宋_GB2312" w:hAnsi="仿宋_GB2312" w:eastAsia="仿宋_GB2312" w:cs="仿宋_GB2312"/>
          <w:color w:val="auto"/>
          <w:kern w:val="0"/>
          <w:sz w:val="32"/>
          <w:szCs w:val="32"/>
        </w:rPr>
        <w:t>、7.17万个公办义务教育学位。力争全市乡镇（街道除外）义务教育阶段寄宿制学校全覆盖。九年义务教育巩固率保持在9</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rPr>
        <w:t>.5%以上，</w:t>
      </w:r>
      <w:r>
        <w:rPr>
          <w:rFonts w:hint="eastAsia" w:ascii="仿宋_GB2312" w:hAnsi="仿宋_GB2312" w:eastAsia="仿宋_GB2312" w:cs="仿宋_GB2312"/>
          <w:color w:val="auto"/>
          <w:kern w:val="0"/>
          <w:sz w:val="32"/>
          <w:szCs w:val="32"/>
          <w:lang w:eastAsia="zh-CN"/>
        </w:rPr>
        <w:t>推动</w:t>
      </w:r>
      <w:r>
        <w:rPr>
          <w:rFonts w:hint="eastAsia" w:ascii="仿宋_GB2312" w:hAnsi="仿宋_GB2312" w:eastAsia="仿宋_GB2312" w:cs="仿宋_GB2312"/>
          <w:color w:val="auto"/>
          <w:kern w:val="0"/>
          <w:sz w:val="32"/>
          <w:szCs w:val="32"/>
          <w:shd w:val="clear" w:color="auto" w:fill="auto"/>
        </w:rPr>
        <w:t>1</w:t>
      </w:r>
      <w:r>
        <w:rPr>
          <w:rFonts w:hint="eastAsia" w:hAnsi="仿宋_GB2312" w:cs="仿宋_GB2312"/>
          <w:color w:val="auto"/>
          <w:kern w:val="0"/>
          <w:sz w:val="32"/>
          <w:szCs w:val="32"/>
          <w:shd w:val="clear" w:color="auto" w:fill="auto"/>
          <w:lang w:val="en-US" w:eastAsia="zh-CN"/>
        </w:rPr>
        <w:t>-</w:t>
      </w:r>
      <w:r>
        <w:rPr>
          <w:rFonts w:hint="eastAsia" w:ascii="仿宋_GB2312" w:hAnsi="仿宋_GB2312" w:eastAsia="仿宋_GB2312" w:cs="仿宋_GB2312"/>
          <w:color w:val="auto"/>
          <w:kern w:val="0"/>
          <w:sz w:val="32"/>
          <w:szCs w:val="32"/>
          <w:shd w:val="clear" w:color="auto" w:fill="auto"/>
        </w:rPr>
        <w:t>2</w:t>
      </w:r>
      <w:r>
        <w:rPr>
          <w:rFonts w:hint="eastAsia" w:ascii="仿宋_GB2312" w:hAnsi="仿宋_GB2312" w:eastAsia="仿宋_GB2312" w:cs="仿宋_GB2312"/>
          <w:color w:val="auto"/>
          <w:kern w:val="0"/>
          <w:sz w:val="32"/>
          <w:szCs w:val="32"/>
        </w:rPr>
        <w:t>个</w:t>
      </w:r>
      <w:r>
        <w:rPr>
          <w:rFonts w:hint="eastAsia" w:ascii="仿宋_GB2312" w:hAnsi="仿宋_GB2312" w:eastAsia="仿宋_GB2312" w:cs="仿宋_GB2312"/>
          <w:color w:val="auto"/>
          <w:kern w:val="0"/>
          <w:sz w:val="32"/>
          <w:szCs w:val="32"/>
          <w:lang w:eastAsia="zh-CN"/>
        </w:rPr>
        <w:t>县级市</w:t>
      </w:r>
      <w:r>
        <w:rPr>
          <w:rFonts w:hint="eastAsia" w:ascii="仿宋_GB2312" w:hAnsi="仿宋_GB2312" w:eastAsia="仿宋_GB2312" w:cs="仿宋_GB2312"/>
          <w:color w:val="auto"/>
          <w:kern w:val="0"/>
          <w:sz w:val="32"/>
          <w:szCs w:val="32"/>
        </w:rPr>
        <w:t>建成</w:t>
      </w:r>
      <w:r>
        <w:rPr>
          <w:rFonts w:hint="eastAsia" w:ascii="仿宋_GB2312" w:hAnsi="仿宋_GB2312" w:eastAsia="仿宋_GB2312" w:cs="仿宋_GB2312"/>
          <w:color w:val="auto"/>
          <w:kern w:val="0"/>
          <w:sz w:val="32"/>
          <w:szCs w:val="32"/>
          <w:lang w:eastAsia="zh-CN"/>
        </w:rPr>
        <w:t>国家</w:t>
      </w:r>
      <w:r>
        <w:rPr>
          <w:rFonts w:hint="eastAsia" w:ascii="仿宋_GB2312" w:hAnsi="仿宋_GB2312" w:eastAsia="仿宋_GB2312" w:cs="仿宋_GB2312"/>
          <w:color w:val="auto"/>
          <w:kern w:val="0"/>
          <w:sz w:val="32"/>
          <w:szCs w:val="32"/>
        </w:rPr>
        <w:t>义务教育优质均衡</w:t>
      </w:r>
      <w:r>
        <w:rPr>
          <w:rFonts w:hint="eastAsia" w:ascii="仿宋_GB2312" w:hAnsi="仿宋_GB2312" w:eastAsia="仿宋_GB2312" w:cs="仿宋_GB2312"/>
          <w:color w:val="auto"/>
          <w:kern w:val="0"/>
          <w:sz w:val="32"/>
          <w:szCs w:val="32"/>
          <w:lang w:eastAsia="zh-CN"/>
        </w:rPr>
        <w:t>发展</w:t>
      </w:r>
      <w:r>
        <w:rPr>
          <w:rFonts w:hint="eastAsia" w:ascii="仿宋_GB2312" w:hAnsi="仿宋_GB2312" w:eastAsia="仿宋_GB2312" w:cs="仿宋_GB2312"/>
          <w:color w:val="auto"/>
          <w:kern w:val="0"/>
          <w:sz w:val="32"/>
          <w:szCs w:val="32"/>
          <w:shd w:val="clear" w:color="auto" w:fill="auto"/>
          <w:lang w:eastAsia="zh-CN"/>
        </w:rPr>
        <w:t>县</w:t>
      </w:r>
      <w:r>
        <w:rPr>
          <w:rFonts w:hint="eastAsia" w:ascii="仿宋_GB2312" w:hAnsi="仿宋_GB2312" w:eastAsia="仿宋_GB2312" w:cs="仿宋_GB2312"/>
          <w:color w:val="auto"/>
          <w:kern w:val="0"/>
          <w:sz w:val="32"/>
          <w:szCs w:val="32"/>
        </w:rPr>
        <w:t>（市、区）。培育创建10个市级以上优质特色教育集团。新增约</w:t>
      </w:r>
      <w:r>
        <w:rPr>
          <w:rFonts w:hint="eastAsia" w:ascii="仿宋_GB2312" w:hAnsi="仿宋_GB2312" w:eastAsia="仿宋_GB2312" w:cs="仿宋_GB2312"/>
          <w:color w:val="auto"/>
          <w:kern w:val="0"/>
          <w:sz w:val="32"/>
          <w:szCs w:val="32"/>
          <w:shd w:val="clear" w:color="auto" w:fill="auto"/>
          <w:lang w:val="en-US" w:eastAsia="zh-CN"/>
        </w:rPr>
        <w:t>1</w:t>
      </w:r>
      <w:r>
        <w:rPr>
          <w:rFonts w:hint="eastAsia" w:ascii="仿宋_GB2312" w:hAnsi="仿宋_GB2312" w:eastAsia="仿宋_GB2312" w:cs="仿宋_GB2312"/>
          <w:color w:val="auto"/>
          <w:kern w:val="0"/>
          <w:sz w:val="32"/>
          <w:szCs w:val="32"/>
          <w:shd w:val="clear" w:color="auto" w:fill="auto"/>
        </w:rPr>
        <w:t>.</w:t>
      </w:r>
      <w:r>
        <w:rPr>
          <w:rFonts w:hint="eastAsia" w:ascii="仿宋_GB2312" w:hAnsi="仿宋_GB2312" w:eastAsia="仿宋_GB2312" w:cs="仿宋_GB2312"/>
          <w:color w:val="auto"/>
          <w:kern w:val="0"/>
          <w:sz w:val="32"/>
          <w:szCs w:val="32"/>
          <w:shd w:val="clear" w:color="auto" w:fill="auto"/>
          <w:lang w:val="en-US" w:eastAsia="zh-CN"/>
        </w:rPr>
        <w:t>07</w:t>
      </w:r>
      <w:r>
        <w:rPr>
          <w:rFonts w:hint="eastAsia" w:ascii="仿宋_GB2312" w:hAnsi="仿宋_GB2312" w:eastAsia="仿宋_GB2312" w:cs="仿宋_GB2312"/>
          <w:color w:val="auto"/>
          <w:kern w:val="0"/>
          <w:sz w:val="32"/>
          <w:szCs w:val="32"/>
        </w:rPr>
        <w:t>万个公办普通高中学位，“</w:t>
      </w:r>
      <w:r>
        <w:rPr>
          <w:rFonts w:hint="eastAsia" w:ascii="仿宋_GB2312" w:hAnsi="仿宋_GB2312" w:eastAsia="仿宋_GB2312" w:cs="仿宋_GB2312"/>
          <w:color w:val="auto"/>
          <w:kern w:val="0"/>
          <w:sz w:val="32"/>
          <w:szCs w:val="32"/>
          <w:shd w:val="clear" w:color="auto" w:fill="auto"/>
        </w:rPr>
        <w:t>普职比</w:t>
      </w:r>
      <w:r>
        <w:rPr>
          <w:rFonts w:hint="eastAsia" w:ascii="仿宋_GB2312" w:hAnsi="仿宋_GB2312" w:eastAsia="仿宋_GB2312" w:cs="仿宋_GB2312"/>
          <w:color w:val="auto"/>
          <w:kern w:val="0"/>
          <w:sz w:val="32"/>
          <w:szCs w:val="32"/>
        </w:rPr>
        <w:t>”达到5:5，高中阶段教育毛入学率达96.8%。适龄残疾儿童义务教育入学率保持</w:t>
      </w:r>
      <w:r>
        <w:rPr>
          <w:rFonts w:hint="eastAsia" w:ascii="仿宋_GB2312" w:hAnsi="仿宋_GB2312" w:eastAsia="仿宋_GB2312" w:cs="仿宋_GB2312"/>
          <w:color w:val="auto"/>
          <w:kern w:val="0"/>
          <w:sz w:val="32"/>
          <w:szCs w:val="32"/>
          <w:lang w:eastAsia="zh-CN"/>
        </w:rPr>
        <w:t>在</w:t>
      </w:r>
      <w:r>
        <w:rPr>
          <w:rFonts w:hint="eastAsia" w:ascii="仿宋_GB2312" w:hAnsi="仿宋_GB2312" w:eastAsia="仿宋_GB2312" w:cs="仿宋_GB2312"/>
          <w:color w:val="auto"/>
          <w:kern w:val="0"/>
          <w:sz w:val="32"/>
          <w:szCs w:val="32"/>
        </w:rPr>
        <w:t>98.5%以上。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职业教育水平显著提升。</w:t>
      </w:r>
      <w:r>
        <w:rPr>
          <w:rFonts w:hint="eastAsia" w:ascii="仿宋_GB2312" w:hAnsi="仿宋_GB2312" w:eastAsia="仿宋_GB2312" w:cs="仿宋_GB2312"/>
          <w:color w:val="auto"/>
          <w:kern w:val="0"/>
          <w:sz w:val="32"/>
          <w:szCs w:val="32"/>
        </w:rPr>
        <w:t>建设一批省级重点中职学校、高水平高职院校和专业群。全市职业学校新建工程项目</w:t>
      </w:r>
      <w:r>
        <w:rPr>
          <w:rFonts w:hint="eastAsia" w:ascii="仿宋_GB2312" w:hAnsi="仿宋_GB2312" w:eastAsia="仿宋_GB2312" w:cs="仿宋_GB2312"/>
          <w:color w:val="auto"/>
          <w:kern w:val="0"/>
          <w:sz w:val="32"/>
          <w:szCs w:val="32"/>
          <w:lang w:val="en-US" w:eastAsia="zh-CN"/>
        </w:rPr>
        <w:t>16</w:t>
      </w:r>
      <w:r>
        <w:rPr>
          <w:rFonts w:hint="eastAsia" w:ascii="仿宋_GB2312" w:hAnsi="仿宋_GB2312" w:eastAsia="仿宋_GB2312" w:cs="仿宋_GB2312"/>
          <w:color w:val="auto"/>
          <w:kern w:val="0"/>
          <w:sz w:val="32"/>
          <w:szCs w:val="32"/>
        </w:rPr>
        <w:t>个，中高职学校在校生总规模达到14.5万人。建设5个左右骨干企业与应用型本科高校、职业院校共同组建的校企合作职业教育集团、产</w:t>
      </w:r>
      <w:r>
        <w:rPr>
          <w:rFonts w:hint="eastAsia" w:ascii="仿宋_GB2312" w:hAnsi="仿宋_GB2312" w:eastAsia="仿宋_GB2312" w:cs="仿宋_GB2312"/>
          <w:color w:val="auto"/>
          <w:kern w:val="0"/>
          <w:sz w:val="32"/>
          <w:szCs w:val="32"/>
          <w:shd w:val="clear" w:color="auto" w:fill="auto"/>
        </w:rPr>
        <w:t>教</w:t>
      </w:r>
      <w:r>
        <w:rPr>
          <w:rFonts w:hint="eastAsia" w:ascii="仿宋_GB2312" w:hAnsi="仿宋_GB2312" w:eastAsia="仿宋_GB2312" w:cs="仿宋_GB2312"/>
          <w:color w:val="auto"/>
          <w:kern w:val="0"/>
          <w:sz w:val="32"/>
          <w:szCs w:val="32"/>
        </w:rPr>
        <w:t>融合联盟。建设一批区域综合性高水平</w:t>
      </w:r>
      <w:r>
        <w:rPr>
          <w:rFonts w:hint="eastAsia" w:ascii="仿宋_GB2312" w:hAnsi="仿宋_GB2312" w:eastAsia="仿宋_GB2312" w:cs="仿宋_GB2312"/>
          <w:color w:val="auto"/>
          <w:kern w:val="0"/>
          <w:sz w:val="32"/>
          <w:szCs w:val="32"/>
          <w:shd w:val="clear" w:color="auto" w:fill="auto"/>
        </w:rPr>
        <w:t>产教</w:t>
      </w:r>
      <w:r>
        <w:rPr>
          <w:rFonts w:hint="eastAsia" w:ascii="仿宋_GB2312" w:hAnsi="仿宋_GB2312" w:eastAsia="仿宋_GB2312" w:cs="仿宋_GB2312"/>
          <w:color w:val="auto"/>
          <w:kern w:val="0"/>
          <w:sz w:val="32"/>
          <w:szCs w:val="32"/>
        </w:rPr>
        <w:t>融合</w:t>
      </w:r>
      <w:r>
        <w:rPr>
          <w:rFonts w:hint="eastAsia" w:ascii="仿宋_GB2312" w:hAnsi="仿宋_GB2312" w:eastAsia="仿宋_GB2312" w:cs="仿宋_GB2312"/>
          <w:color w:val="auto"/>
          <w:kern w:val="0"/>
          <w:sz w:val="32"/>
          <w:szCs w:val="32"/>
          <w:lang w:eastAsia="zh-CN"/>
        </w:rPr>
        <w:t>实训</w:t>
      </w:r>
      <w:r>
        <w:rPr>
          <w:rFonts w:hint="eastAsia" w:ascii="仿宋_GB2312" w:hAnsi="仿宋_GB2312" w:eastAsia="仿宋_GB2312" w:cs="仿宋_GB2312"/>
          <w:color w:val="auto"/>
          <w:kern w:val="0"/>
          <w:sz w:val="32"/>
          <w:szCs w:val="32"/>
        </w:rPr>
        <w:t>基地。建设1所本科层次职业学校。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高等教育内涵发展。</w:t>
      </w:r>
      <w:r>
        <w:rPr>
          <w:rFonts w:hint="eastAsia" w:ascii="仿宋_GB2312" w:hAnsi="仿宋_GB2312" w:eastAsia="仿宋_GB2312" w:cs="仿宋_GB2312"/>
          <w:color w:val="auto"/>
          <w:kern w:val="0"/>
          <w:sz w:val="32"/>
          <w:szCs w:val="32"/>
        </w:rPr>
        <w:t>支持“两本</w:t>
      </w:r>
      <w:r>
        <w:rPr>
          <w:rFonts w:hint="eastAsia" w:ascii="仿宋_GB2312" w:hAnsi="仿宋_GB2312" w:eastAsia="仿宋_GB2312" w:cs="仿宋_GB2312"/>
          <w:color w:val="auto"/>
          <w:kern w:val="0"/>
          <w:sz w:val="32"/>
          <w:szCs w:val="32"/>
          <w:shd w:val="clear" w:color="auto" w:fill="auto"/>
        </w:rPr>
        <w:t>四专</w:t>
      </w:r>
      <w:r>
        <w:rPr>
          <w:rFonts w:hint="eastAsia" w:ascii="仿宋_GB2312" w:hAnsi="仿宋_GB2312" w:eastAsia="仿宋_GB2312" w:cs="仿宋_GB2312"/>
          <w:color w:val="auto"/>
          <w:kern w:val="0"/>
          <w:sz w:val="32"/>
          <w:szCs w:val="32"/>
        </w:rPr>
        <w:t>”高校高质量发展</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高校若干学科专业居于省内领先或达到国内一流水平。支持广东石油化工学院建设高水平理工科大学，重点支持其特色学科建设。建设3个国家一流学科、5个</w:t>
      </w:r>
      <w:r>
        <w:rPr>
          <w:rFonts w:hint="eastAsia" w:ascii="仿宋_GB2312" w:hAnsi="仿宋_GB2312" w:eastAsia="仿宋_GB2312" w:cs="仿宋_GB2312"/>
          <w:color w:val="auto"/>
          <w:kern w:val="0"/>
          <w:sz w:val="32"/>
          <w:szCs w:val="32"/>
          <w:u w:val="none"/>
        </w:rPr>
        <w:t>国家级</w:t>
      </w:r>
      <w:r>
        <w:rPr>
          <w:rFonts w:hint="eastAsia" w:ascii="仿宋_GB2312" w:hAnsi="仿宋_GB2312" w:eastAsia="仿宋_GB2312" w:cs="仿宋_GB2312"/>
          <w:color w:val="auto"/>
          <w:kern w:val="0"/>
          <w:sz w:val="32"/>
          <w:szCs w:val="32"/>
        </w:rPr>
        <w:t>一流本科专业、20个左右省级一流本科专业、37个左右省级特色（重点）专业。</w:t>
      </w:r>
      <w:r>
        <w:rPr>
          <w:rFonts w:hint="eastAsia" w:ascii="仿宋_GB2312" w:hAnsi="仿宋_GB2312" w:eastAsia="仿宋_GB2312" w:cs="仿宋_GB2312"/>
          <w:color w:val="auto"/>
          <w:kern w:val="0"/>
          <w:sz w:val="32"/>
          <w:szCs w:val="32"/>
          <w:lang w:eastAsia="zh-CN"/>
        </w:rPr>
        <w:t>服务乡村振兴，</w:t>
      </w:r>
      <w:r>
        <w:rPr>
          <w:rFonts w:hint="eastAsia" w:ascii="仿宋_GB2312" w:hAnsi="仿宋_GB2312" w:eastAsia="仿宋_GB2312" w:cs="仿宋_GB2312"/>
          <w:color w:val="auto"/>
          <w:kern w:val="0"/>
          <w:sz w:val="32"/>
          <w:szCs w:val="32"/>
          <w:lang w:val="en-US" w:eastAsia="en-US"/>
        </w:rPr>
        <w:t>加强师范院校建设</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en-US"/>
        </w:rPr>
        <w:t>推进建设10个左右市级示范性教师教育实践基地</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en-US"/>
        </w:rPr>
        <w:t>加强普通高等医学教育临床教学基地建设</w:t>
      </w:r>
      <w:r>
        <w:rPr>
          <w:rFonts w:hint="eastAsia" w:ascii="仿宋_GB2312" w:hAnsi="仿宋_GB2312" w:eastAsia="仿宋_GB2312" w:cs="仿宋_GB2312"/>
          <w:color w:val="auto"/>
          <w:kern w:val="0"/>
          <w:sz w:val="32"/>
          <w:szCs w:val="32"/>
          <w:lang w:val="en-US" w:eastAsia="zh-CN"/>
        </w:rPr>
        <w:t>，重视传统经典，传承创新发展中医药教育，加强面向大健康产业发展的学科专业建设和人才培养</w:t>
      </w:r>
      <w:r>
        <w:rPr>
          <w:rFonts w:hint="eastAsia" w:ascii="仿宋_GB2312" w:hAnsi="仿宋_GB2312" w:eastAsia="仿宋_GB2312" w:cs="仿宋_GB2312"/>
          <w:color w:val="auto"/>
          <w:kern w:val="0"/>
          <w:sz w:val="32"/>
          <w:szCs w:val="32"/>
          <w:lang w:val="en-US" w:eastAsia="en-US"/>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教师素质稳步提高。</w:t>
      </w:r>
      <w:r>
        <w:rPr>
          <w:rFonts w:hint="eastAsia" w:ascii="仿宋_GB2312" w:hAnsi="仿宋_GB2312" w:eastAsia="仿宋_GB2312" w:cs="仿宋_GB2312"/>
          <w:color w:val="auto"/>
          <w:kern w:val="0"/>
          <w:sz w:val="32"/>
          <w:szCs w:val="32"/>
        </w:rPr>
        <w:t>所有学校按学科需要足额配齐教师，校长教师队伍能力素质明显提高，师资队伍结构进一步优化。幼儿园</w:t>
      </w:r>
      <w:r>
        <w:rPr>
          <w:rFonts w:hint="eastAsia" w:ascii="仿宋_GB2312" w:hAnsi="仿宋_GB2312" w:eastAsia="仿宋_GB2312" w:cs="仿宋_GB2312"/>
          <w:color w:val="auto"/>
          <w:kern w:val="0"/>
          <w:sz w:val="32"/>
          <w:szCs w:val="32"/>
          <w:lang w:eastAsia="zh-CN"/>
        </w:rPr>
        <w:t>专任教师</w:t>
      </w:r>
      <w:r>
        <w:rPr>
          <w:rFonts w:hint="eastAsia" w:ascii="仿宋_GB2312" w:hAnsi="仿宋_GB2312" w:eastAsia="仿宋_GB2312" w:cs="仿宋_GB2312"/>
          <w:color w:val="auto"/>
          <w:kern w:val="0"/>
          <w:sz w:val="32"/>
          <w:szCs w:val="32"/>
        </w:rPr>
        <w:t>专科以上学历比例达到93%，小学、初中</w:t>
      </w:r>
      <w:r>
        <w:rPr>
          <w:rFonts w:hint="eastAsia" w:ascii="仿宋_GB2312" w:hAnsi="仿宋_GB2312" w:eastAsia="仿宋_GB2312" w:cs="仿宋_GB2312"/>
          <w:color w:val="auto"/>
          <w:kern w:val="0"/>
          <w:sz w:val="32"/>
          <w:szCs w:val="32"/>
          <w:lang w:eastAsia="zh-CN"/>
        </w:rPr>
        <w:t>专任教师</w:t>
      </w:r>
      <w:r>
        <w:rPr>
          <w:rFonts w:hint="eastAsia" w:ascii="仿宋_GB2312" w:hAnsi="仿宋_GB2312" w:eastAsia="仿宋_GB2312" w:cs="仿宋_GB2312"/>
          <w:color w:val="auto"/>
          <w:kern w:val="0"/>
          <w:sz w:val="32"/>
          <w:szCs w:val="32"/>
          <w:lang w:eastAsia="en-US"/>
        </w:rPr>
        <w:t>本科以上学历</w:t>
      </w:r>
      <w:r>
        <w:rPr>
          <w:rFonts w:hint="eastAsia" w:ascii="仿宋_GB2312" w:hAnsi="仿宋_GB2312" w:eastAsia="仿宋_GB2312" w:cs="仿宋_GB2312"/>
          <w:color w:val="auto"/>
          <w:kern w:val="0"/>
          <w:sz w:val="32"/>
          <w:szCs w:val="32"/>
        </w:rPr>
        <w:t>比例分别达到7</w:t>
      </w:r>
      <w:r>
        <w:rPr>
          <w:rFonts w:hint="eastAsia" w:ascii="仿宋_GB2312" w:hAnsi="仿宋_GB2312" w:eastAsia="仿宋_GB2312" w:cs="仿宋_GB2312"/>
          <w:color w:val="auto"/>
          <w:kern w:val="0"/>
          <w:sz w:val="32"/>
          <w:szCs w:val="32"/>
          <w:lang w:val="en-US" w:eastAsia="zh-CN"/>
        </w:rPr>
        <w:t>3.11</w:t>
      </w:r>
      <w:r>
        <w:rPr>
          <w:rFonts w:hint="eastAsia" w:ascii="仿宋_GB2312" w:hAnsi="仿宋_GB2312" w:eastAsia="仿宋_GB2312" w:cs="仿宋_GB2312"/>
          <w:color w:val="auto"/>
          <w:kern w:val="0"/>
          <w:sz w:val="32"/>
          <w:szCs w:val="32"/>
        </w:rPr>
        <w:t>%、9</w:t>
      </w:r>
      <w:r>
        <w:rPr>
          <w:rFonts w:hint="eastAsia" w:ascii="仿宋_GB2312" w:hAnsi="仿宋_GB2312" w:eastAsia="仿宋_GB2312" w:cs="仿宋_GB2312"/>
          <w:color w:val="auto"/>
          <w:kern w:val="0"/>
          <w:sz w:val="32"/>
          <w:szCs w:val="32"/>
          <w:lang w:val="en-US" w:eastAsia="zh-CN"/>
        </w:rPr>
        <w:t>5.89</w:t>
      </w:r>
      <w:r>
        <w:rPr>
          <w:rFonts w:hint="eastAsia" w:ascii="仿宋_GB2312" w:hAnsi="仿宋_GB2312" w:eastAsia="仿宋_GB2312" w:cs="仿宋_GB2312"/>
          <w:color w:val="auto"/>
          <w:kern w:val="0"/>
          <w:sz w:val="32"/>
          <w:szCs w:val="32"/>
        </w:rPr>
        <w:t>%，高中阶段学校</w:t>
      </w:r>
      <w:r>
        <w:rPr>
          <w:rFonts w:hint="eastAsia" w:ascii="仿宋_GB2312" w:hAnsi="仿宋_GB2312" w:eastAsia="仿宋_GB2312" w:cs="仿宋_GB2312"/>
          <w:color w:val="auto"/>
          <w:kern w:val="0"/>
          <w:sz w:val="32"/>
          <w:szCs w:val="32"/>
          <w:lang w:eastAsia="zh-CN"/>
        </w:rPr>
        <w:t>专任教师</w:t>
      </w:r>
      <w:r>
        <w:rPr>
          <w:rFonts w:hint="eastAsia" w:ascii="仿宋_GB2312" w:hAnsi="仿宋_GB2312" w:eastAsia="仿宋_GB2312" w:cs="仿宋_GB2312"/>
          <w:color w:val="auto"/>
          <w:kern w:val="0"/>
          <w:sz w:val="32"/>
          <w:szCs w:val="32"/>
        </w:rPr>
        <w:t>硕士研究生学历比例达到15%，普通高中和义务教育学校校长</w:t>
      </w:r>
      <w:r>
        <w:rPr>
          <w:rFonts w:hint="eastAsia" w:ascii="仿宋_GB2312" w:hAnsi="仿宋_GB2312" w:eastAsia="仿宋_GB2312" w:cs="仿宋_GB2312"/>
          <w:color w:val="auto"/>
          <w:spacing w:val="6"/>
          <w:kern w:val="0"/>
          <w:sz w:val="32"/>
          <w:szCs w:val="32"/>
        </w:rPr>
        <w:t>学历层次全员达到本科以上，幼儿园园长学历层次全员达到专科以上，职业教育</w:t>
      </w:r>
      <w:r>
        <w:rPr>
          <w:rFonts w:hint="eastAsia" w:ascii="仿宋_GB2312" w:hAnsi="仿宋_GB2312" w:eastAsia="仿宋_GB2312" w:cs="仿宋_GB2312"/>
          <w:color w:val="auto"/>
          <w:spacing w:val="6"/>
          <w:kern w:val="0"/>
          <w:sz w:val="32"/>
          <w:szCs w:val="32"/>
          <w:lang w:eastAsia="zh-CN"/>
        </w:rPr>
        <w:t>“</w:t>
      </w:r>
      <w:r>
        <w:rPr>
          <w:rFonts w:hint="eastAsia" w:ascii="仿宋_GB2312" w:hAnsi="仿宋_GB2312" w:eastAsia="仿宋_GB2312" w:cs="仿宋_GB2312"/>
          <w:color w:val="auto"/>
          <w:spacing w:val="6"/>
          <w:kern w:val="0"/>
          <w:sz w:val="32"/>
          <w:szCs w:val="32"/>
        </w:rPr>
        <w:t>双师型</w:t>
      </w:r>
      <w:r>
        <w:rPr>
          <w:rFonts w:hint="eastAsia" w:ascii="仿宋_GB2312" w:hAnsi="仿宋_GB2312" w:eastAsia="仿宋_GB2312" w:cs="仿宋_GB2312"/>
          <w:color w:val="auto"/>
          <w:spacing w:val="6"/>
          <w:kern w:val="0"/>
          <w:sz w:val="32"/>
          <w:szCs w:val="32"/>
          <w:lang w:eastAsia="zh-CN"/>
        </w:rPr>
        <w:t>”</w:t>
      </w:r>
      <w:r>
        <w:rPr>
          <w:rFonts w:hint="eastAsia" w:ascii="仿宋_GB2312" w:hAnsi="仿宋_GB2312" w:eastAsia="仿宋_GB2312" w:cs="仿宋_GB2312"/>
          <w:color w:val="auto"/>
          <w:spacing w:val="6"/>
          <w:kern w:val="0"/>
          <w:sz w:val="32"/>
          <w:szCs w:val="32"/>
        </w:rPr>
        <w:t>教师占专业课教师比例达到65%以上。</w:t>
      </w:r>
    </w:p>
    <w:p>
      <w:pPr>
        <w:pStyle w:val="2"/>
        <w:keepNext w:val="0"/>
        <w:keepLines w:val="0"/>
        <w:pageBreakBefore w:val="0"/>
        <w:widowControl w:val="0"/>
        <w:shd w:val="clear" w:color="auto" w:fill="auto"/>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kern w:val="0"/>
          <w:sz w:val="32"/>
          <w:szCs w:val="32"/>
          <w:highlight w:val="none"/>
          <w:lang w:eastAsia="zh-CN"/>
        </w:rPr>
        <w:t>教育综合改革取得突破。</w:t>
      </w:r>
      <w:r>
        <w:rPr>
          <w:rFonts w:hint="eastAsia" w:ascii="仿宋_GB2312" w:hAnsi="仿宋_GB2312" w:eastAsia="仿宋_GB2312" w:cs="仿宋_GB2312"/>
          <w:color w:val="auto"/>
          <w:kern w:val="0"/>
          <w:sz w:val="32"/>
          <w:szCs w:val="32"/>
          <w:highlight w:val="none"/>
          <w:lang w:eastAsia="zh-CN"/>
        </w:rPr>
        <w:t>科学的教育理念和教育评价制度基本建立，制约教育高质量发展的结构性体制性障碍基本实现突破，教育治理体系和治理能力现代化水平和能力全面提高，教育标准体系更加健全，教育治理效能显著提升。教育发展方式、投入结构从规模发展为主向提升质量为主转变，实现发展规模、速度、质量、结构、效益相统一。</w:t>
      </w:r>
    </w:p>
    <w:p>
      <w:pPr>
        <w:keepNext w:val="0"/>
        <w:keepLines w:val="0"/>
        <w:pageBreakBefore w:val="0"/>
        <w:widowControl w:val="0"/>
        <w:kinsoku/>
        <w:wordWrap/>
        <w:overflowPunct/>
        <w:topLinePunct w:val="0"/>
        <w:autoSpaceDE/>
        <w:autoSpaceDN/>
        <w:bidi w:val="0"/>
        <w:adjustRightInd/>
        <w:snapToGrid/>
        <w:spacing w:after="156" w:afterLines="50" w:line="58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展望2035年，各级各类教育适应教育现代化发展需要，更加公平更高质量全面发展，教育服务经济社会高质量发展能力全面增强，建成服务全民终身学习的现代教育体系，教育治理效能全面提升，开放包容、协同创新、共建共享、运转高效的教育现代化全面实现，全市基础教育办学质量和综合实力跨入省内先进地区行列。</w:t>
      </w:r>
    </w:p>
    <w:p>
      <w:pPr>
        <w:pStyle w:val="2"/>
        <w:rPr>
          <w:rFonts w:hint="eastAsia" w:ascii="Times New Roman" w:hAnsi="Times New Roman" w:eastAsia="宋体" w:cs="Times New Roman"/>
          <w:color w:val="auto"/>
          <w:kern w:val="0"/>
          <w:sz w:val="20"/>
          <w:szCs w:val="20"/>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4905"/>
        <w:gridCol w:w="1178"/>
        <w:gridCol w:w="1114"/>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210" w:type="dxa"/>
            <w:gridSpan w:val="5"/>
            <w:noWrap w:val="0"/>
            <w:vAlign w:val="center"/>
          </w:tcPr>
          <w:p>
            <w:pPr>
              <w:adjustRightInd w:val="0"/>
              <w:snapToGrid w:val="0"/>
              <w:spacing w:line="520" w:lineRule="exact"/>
              <w:jc w:val="center"/>
              <w:rPr>
                <w:rFonts w:hint="eastAsia" w:ascii="仿宋_GB2312" w:hAnsi="仿宋_GB2312" w:eastAsia="仿宋_GB2312" w:cs="仿宋_GB2312"/>
                <w:color w:val="auto"/>
                <w:kern w:val="0"/>
                <w:sz w:val="28"/>
                <w:szCs w:val="28"/>
                <w:lang w:eastAsia="en-US"/>
              </w:rPr>
            </w:pPr>
            <w:r>
              <w:rPr>
                <w:rFonts w:hint="eastAsia" w:ascii="仿宋_GB2312" w:hAnsi="仿宋_GB2312" w:eastAsia="仿宋_GB2312" w:cs="仿宋_GB2312"/>
                <w:b/>
                <w:color w:val="auto"/>
                <w:kern w:val="0"/>
                <w:sz w:val="28"/>
                <w:szCs w:val="28"/>
                <w:lang w:eastAsia="en-US"/>
              </w:rPr>
              <w:t>专栏</w:t>
            </w:r>
            <w:r>
              <w:rPr>
                <w:rFonts w:hint="eastAsia" w:ascii="仿宋_GB2312" w:hAnsi="仿宋_GB2312" w:eastAsia="仿宋_GB2312" w:cs="仿宋_GB2312"/>
                <w:b/>
                <w:color w:val="auto"/>
                <w:kern w:val="0"/>
                <w:sz w:val="28"/>
                <w:szCs w:val="28"/>
                <w:lang w:val="en-US" w:eastAsia="zh-CN"/>
              </w:rPr>
              <w:t>2</w:t>
            </w:r>
            <w:r>
              <w:rPr>
                <w:rFonts w:hint="eastAsia" w:ascii="仿宋_GB2312" w:hAnsi="仿宋_GB2312" w:eastAsia="仿宋_GB2312" w:cs="仿宋_GB2312"/>
                <w:b/>
                <w:color w:val="auto"/>
                <w:kern w:val="0"/>
                <w:sz w:val="28"/>
                <w:szCs w:val="28"/>
                <w:lang w:eastAsia="en-US"/>
              </w:rPr>
              <w:t xml:space="preserve"> 茂名市教育发展“十四五”主要目标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8" w:type="dxa"/>
            <w:gridSpan w:val="2"/>
            <w:noWrap w:val="0"/>
            <w:vAlign w:val="top"/>
          </w:tcPr>
          <w:p>
            <w:pPr>
              <w:spacing w:line="520" w:lineRule="exact"/>
              <w:jc w:val="center"/>
              <w:rPr>
                <w:rFonts w:hint="eastAsia" w:ascii="仿宋_GB2312" w:hAnsi="仿宋_GB2312" w:eastAsia="仿宋_GB2312" w:cs="仿宋_GB2312"/>
                <w:color w:val="auto"/>
                <w:kern w:val="0"/>
                <w:sz w:val="28"/>
                <w:szCs w:val="28"/>
                <w:lang w:eastAsia="en-US"/>
              </w:rPr>
            </w:pPr>
            <w:r>
              <w:rPr>
                <w:rFonts w:hint="eastAsia" w:ascii="仿宋_GB2312" w:hAnsi="仿宋_GB2312" w:eastAsia="仿宋_GB2312" w:cs="仿宋_GB2312"/>
                <w:b/>
                <w:bCs/>
                <w:color w:val="auto"/>
                <w:kern w:val="0"/>
                <w:sz w:val="28"/>
                <w:szCs w:val="28"/>
                <w:lang w:eastAsia="en-US"/>
              </w:rPr>
              <w:t>指标</w:t>
            </w:r>
          </w:p>
        </w:tc>
        <w:tc>
          <w:tcPr>
            <w:tcW w:w="1178" w:type="dxa"/>
            <w:noWrap w:val="0"/>
            <w:vAlign w:val="top"/>
          </w:tcPr>
          <w:p>
            <w:pPr>
              <w:spacing w:line="520" w:lineRule="exact"/>
              <w:jc w:val="center"/>
              <w:rPr>
                <w:rFonts w:hint="eastAsia" w:ascii="仿宋_GB2312" w:hAnsi="仿宋_GB2312" w:eastAsia="仿宋_GB2312" w:cs="仿宋_GB2312"/>
                <w:color w:val="auto"/>
                <w:kern w:val="0"/>
                <w:sz w:val="28"/>
                <w:szCs w:val="28"/>
                <w:lang w:eastAsia="en-US"/>
              </w:rPr>
            </w:pPr>
            <w:r>
              <w:rPr>
                <w:rFonts w:hint="eastAsia" w:ascii="仿宋_GB2312" w:hAnsi="仿宋_GB2312" w:eastAsia="仿宋_GB2312" w:cs="仿宋_GB2312"/>
                <w:b/>
                <w:bCs/>
                <w:color w:val="auto"/>
                <w:kern w:val="0"/>
                <w:sz w:val="28"/>
                <w:szCs w:val="28"/>
                <w:lang w:eastAsia="en-US"/>
              </w:rPr>
              <w:t>2020年</w:t>
            </w:r>
          </w:p>
        </w:tc>
        <w:tc>
          <w:tcPr>
            <w:tcW w:w="1114" w:type="dxa"/>
            <w:noWrap w:val="0"/>
            <w:vAlign w:val="top"/>
          </w:tcPr>
          <w:p>
            <w:pPr>
              <w:spacing w:line="520" w:lineRule="exact"/>
              <w:jc w:val="center"/>
              <w:rPr>
                <w:rFonts w:hint="eastAsia" w:ascii="仿宋_GB2312" w:hAnsi="仿宋_GB2312" w:eastAsia="仿宋_GB2312" w:cs="仿宋_GB2312"/>
                <w:color w:val="auto"/>
                <w:kern w:val="0"/>
                <w:sz w:val="28"/>
                <w:szCs w:val="28"/>
                <w:lang w:eastAsia="en-US"/>
              </w:rPr>
            </w:pPr>
            <w:r>
              <w:rPr>
                <w:rFonts w:hint="eastAsia" w:ascii="仿宋_GB2312" w:hAnsi="仿宋_GB2312" w:eastAsia="仿宋_GB2312" w:cs="仿宋_GB2312"/>
                <w:b/>
                <w:bCs/>
                <w:color w:val="auto"/>
                <w:kern w:val="0"/>
                <w:sz w:val="28"/>
                <w:szCs w:val="28"/>
                <w:lang w:eastAsia="en-US"/>
              </w:rPr>
              <w:t>2025年</w:t>
            </w:r>
          </w:p>
        </w:tc>
        <w:tc>
          <w:tcPr>
            <w:tcW w:w="1200" w:type="dxa"/>
            <w:noWrap w:val="0"/>
            <w:vAlign w:val="top"/>
          </w:tcPr>
          <w:p>
            <w:pPr>
              <w:spacing w:line="520" w:lineRule="exact"/>
              <w:jc w:val="center"/>
              <w:rPr>
                <w:rFonts w:hint="eastAsia" w:ascii="仿宋_GB2312" w:hAnsi="仿宋_GB2312" w:eastAsia="仿宋_GB2312" w:cs="仿宋_GB2312"/>
                <w:color w:val="auto"/>
                <w:kern w:val="0"/>
                <w:sz w:val="28"/>
                <w:szCs w:val="28"/>
                <w:lang w:eastAsia="en-US"/>
              </w:rPr>
            </w:pPr>
            <w:r>
              <w:rPr>
                <w:rFonts w:hint="eastAsia" w:ascii="仿宋_GB2312" w:hAnsi="仿宋_GB2312" w:eastAsia="仿宋_GB2312" w:cs="仿宋_GB2312"/>
                <w:b/>
                <w:bCs/>
                <w:color w:val="auto"/>
                <w:kern w:val="0"/>
                <w:sz w:val="28"/>
                <w:szCs w:val="28"/>
                <w:lang w:eastAsia="en-US"/>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学前</w:t>
            </w:r>
          </w:p>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教育</w:t>
            </w: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在园幼儿（万人）</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34.81</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36.8</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top"/>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学前教育</w:t>
            </w:r>
            <w:r>
              <w:rPr>
                <w:rFonts w:hint="eastAsia" w:ascii="仿宋_GB2312" w:hAnsi="仿宋_GB2312" w:eastAsia="仿宋_GB2312" w:cs="仿宋_GB2312"/>
                <w:color w:val="auto"/>
                <w:sz w:val="28"/>
                <w:szCs w:val="28"/>
                <w:shd w:val="clear" w:color="auto" w:fill="auto"/>
                <w:lang w:eastAsia="en-US"/>
              </w:rPr>
              <w:t>毛</w:t>
            </w:r>
            <w:r>
              <w:rPr>
                <w:rFonts w:hint="eastAsia" w:ascii="仿宋_GB2312" w:hAnsi="仿宋_GB2312" w:eastAsia="仿宋_GB2312" w:cs="仿宋_GB2312"/>
                <w:color w:val="auto"/>
                <w:sz w:val="28"/>
                <w:szCs w:val="28"/>
                <w:lang w:eastAsia="en-US"/>
              </w:rPr>
              <w:t>入园率（%）</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98.53</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100</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top"/>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幼儿园专任教师专科以上学历比例（%）</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83.87</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93</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3"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九年义务教育</w:t>
            </w: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在校生（万人）</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99.13</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108</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center"/>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九年义务教育巩固率（%）</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97.14</w:t>
            </w:r>
          </w:p>
        </w:tc>
        <w:tc>
          <w:tcPr>
            <w:tcW w:w="1114" w:type="dxa"/>
            <w:noWrap w:val="0"/>
            <w:vAlign w:val="center"/>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&gt;</w:t>
            </w:r>
            <w:r>
              <w:rPr>
                <w:rFonts w:hint="eastAsia" w:ascii="仿宋_GB2312" w:hAnsi="仿宋_GB2312" w:eastAsia="仿宋_GB2312" w:cs="仿宋_GB2312"/>
                <w:color w:val="auto"/>
                <w:sz w:val="28"/>
                <w:szCs w:val="28"/>
                <w:lang w:val="en-US" w:eastAsia="zh-CN"/>
              </w:rPr>
              <w:t>97</w:t>
            </w:r>
            <w:r>
              <w:rPr>
                <w:rFonts w:hint="eastAsia" w:ascii="仿宋_GB2312" w:hAnsi="仿宋_GB2312" w:eastAsia="仿宋_GB2312" w:cs="仿宋_GB2312"/>
                <w:color w:val="auto"/>
                <w:sz w:val="28"/>
                <w:szCs w:val="28"/>
                <w:lang w:eastAsia="en-US"/>
              </w:rPr>
              <w:t>.5</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center"/>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适龄残疾儿童义务教育入学率（%）</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98.48</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&gt;98.5</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center"/>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小学专任教师本科以上学历比例（%）</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63.31</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73.11</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3" w:type="dxa"/>
            <w:vMerge w:val="continue"/>
            <w:noWrap w:val="0"/>
            <w:vAlign w:val="center"/>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初中专任教师本科以上学历比例（%）</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90.77</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95.89</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center"/>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pacing w:val="-18"/>
                <w:sz w:val="28"/>
                <w:szCs w:val="28"/>
                <w:lang w:eastAsia="en-US"/>
              </w:rPr>
              <w:t>全国义务教育优质均衡发展</w:t>
            </w:r>
            <w:r>
              <w:rPr>
                <w:rFonts w:hint="eastAsia" w:ascii="仿宋_GB2312" w:hAnsi="仿宋_GB2312" w:eastAsia="仿宋_GB2312" w:cs="仿宋_GB2312"/>
                <w:color w:val="auto"/>
                <w:spacing w:val="-18"/>
                <w:sz w:val="28"/>
                <w:szCs w:val="28"/>
                <w:shd w:val="clear" w:color="auto" w:fill="auto"/>
                <w:lang w:eastAsia="en-US"/>
              </w:rPr>
              <w:t>县</w:t>
            </w:r>
            <w:r>
              <w:rPr>
                <w:rFonts w:hint="eastAsia" w:ascii="仿宋_GB2312" w:hAnsi="仿宋_GB2312" w:eastAsia="仿宋_GB2312" w:cs="仿宋_GB2312"/>
                <w:color w:val="auto"/>
                <w:spacing w:val="-18"/>
                <w:sz w:val="28"/>
                <w:szCs w:val="28"/>
                <w:lang w:eastAsia="en-US"/>
              </w:rPr>
              <w:t>（市、区）（个）</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基本</w:t>
            </w:r>
          </w:p>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均衡</w:t>
            </w:r>
          </w:p>
        </w:tc>
        <w:tc>
          <w:tcPr>
            <w:tcW w:w="1114" w:type="dxa"/>
            <w:noWrap w:val="0"/>
            <w:vAlign w:val="center"/>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shd w:val="clear" w:color="auto" w:fill="auto"/>
                <w:lang w:eastAsia="en-US"/>
              </w:rPr>
              <w:t>1</w:t>
            </w:r>
            <w:r>
              <w:rPr>
                <w:rFonts w:hint="eastAsia" w:hAnsi="仿宋_GB2312" w:cs="仿宋_GB2312"/>
                <w:color w:val="auto"/>
                <w:sz w:val="28"/>
                <w:szCs w:val="28"/>
                <w:shd w:val="clear" w:color="auto" w:fill="auto"/>
                <w:lang w:val="en-US" w:eastAsia="zh-CN"/>
              </w:rPr>
              <w:t>-</w:t>
            </w:r>
            <w:r>
              <w:rPr>
                <w:rFonts w:hint="eastAsia" w:ascii="仿宋_GB2312" w:hAnsi="仿宋_GB2312" w:eastAsia="仿宋_GB2312" w:cs="仿宋_GB2312"/>
                <w:color w:val="auto"/>
                <w:sz w:val="28"/>
                <w:szCs w:val="28"/>
                <w:shd w:val="clear" w:color="auto" w:fill="auto"/>
                <w:lang w:eastAsia="en-US"/>
              </w:rPr>
              <w:t>2</w:t>
            </w:r>
            <w:r>
              <w:rPr>
                <w:rFonts w:hint="eastAsia" w:ascii="仿宋_GB2312" w:hAnsi="仿宋_GB2312" w:eastAsia="仿宋_GB2312" w:cs="仿宋_GB2312"/>
                <w:color w:val="auto"/>
                <w:sz w:val="28"/>
                <w:szCs w:val="28"/>
                <w:lang w:eastAsia="en-US"/>
              </w:rPr>
              <w:t>个</w:t>
            </w:r>
          </w:p>
        </w:tc>
        <w:tc>
          <w:tcPr>
            <w:tcW w:w="1200" w:type="dxa"/>
            <w:noWrap w:val="0"/>
            <w:vAlign w:val="center"/>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高中阶段教育</w:t>
            </w: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在校生（万人）</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25.36</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27</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center"/>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毛入学率（%）</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en-US"/>
              </w:rPr>
              <w:t>95.3</w:t>
            </w:r>
            <w:r>
              <w:rPr>
                <w:rFonts w:hint="eastAsia" w:ascii="仿宋_GB2312" w:hAnsi="仿宋_GB2312" w:eastAsia="仿宋_GB2312" w:cs="仿宋_GB2312"/>
                <w:color w:val="auto"/>
                <w:sz w:val="28"/>
                <w:szCs w:val="28"/>
                <w:lang w:val="en-US" w:eastAsia="zh-CN"/>
              </w:rPr>
              <w:t>5</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96.8</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center"/>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高中专任教师硕士研究生以上学历比例（%）</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9.68</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15</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高等</w:t>
            </w:r>
          </w:p>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教育</w:t>
            </w: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研究生（万人）</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0</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0.1</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center"/>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普通本专科生（万人）</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7.5</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9.4</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center"/>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国家一流学科数量（个）</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0</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3</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center"/>
          </w:tcPr>
          <w:p>
            <w:pPr>
              <w:adjustRightInd w:val="0"/>
              <w:snapToGrid w:val="0"/>
              <w:spacing w:line="520" w:lineRule="exact"/>
              <w:ind w:firstLine="0" w:firstLineChars="0"/>
              <w:jc w:val="center"/>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国家级一流本科专业（个）</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2</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5</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职业</w:t>
            </w:r>
          </w:p>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教育</w:t>
            </w: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现代学徒制培养比例（%）</w:t>
            </w:r>
          </w:p>
        </w:tc>
        <w:tc>
          <w:tcPr>
            <w:tcW w:w="1178" w:type="dxa"/>
            <w:noWrap w:val="0"/>
            <w:vAlign w:val="center"/>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0</w:t>
            </w:r>
          </w:p>
        </w:tc>
        <w:tc>
          <w:tcPr>
            <w:tcW w:w="1114" w:type="dxa"/>
            <w:noWrap w:val="0"/>
            <w:vAlign w:val="center"/>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8</w:t>
            </w:r>
          </w:p>
        </w:tc>
        <w:tc>
          <w:tcPr>
            <w:tcW w:w="1200" w:type="dxa"/>
            <w:noWrap w:val="0"/>
            <w:vAlign w:val="center"/>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center"/>
          </w:tcPr>
          <w:p>
            <w:pPr>
              <w:adjustRightInd w:val="0"/>
              <w:snapToGrid w:val="0"/>
              <w:spacing w:line="520" w:lineRule="exact"/>
              <w:ind w:firstLine="0" w:firstLineChars="0"/>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eastAsia="en-US"/>
              </w:rPr>
              <w:t>双师型</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eastAsia="en-US"/>
              </w:rPr>
              <w:t>教师占专业课教师比例（%）</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63.2</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&gt;65</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13" w:type="dxa"/>
            <w:vMerge w:val="continue"/>
            <w:noWrap w:val="0"/>
            <w:vAlign w:val="center"/>
          </w:tcPr>
          <w:p>
            <w:pPr>
              <w:adjustRightInd w:val="0"/>
              <w:snapToGrid w:val="0"/>
              <w:spacing w:line="520" w:lineRule="exact"/>
              <w:ind w:firstLine="0" w:firstLineChars="0"/>
              <w:rPr>
                <w:rFonts w:hint="eastAsia" w:ascii="仿宋_GB2312" w:hAnsi="仿宋_GB2312" w:eastAsia="仿宋_GB2312" w:cs="仿宋_GB2312"/>
                <w:color w:val="auto"/>
                <w:sz w:val="28"/>
                <w:szCs w:val="28"/>
                <w:lang w:eastAsia="en-US"/>
              </w:rPr>
            </w:pPr>
          </w:p>
        </w:tc>
        <w:tc>
          <w:tcPr>
            <w:tcW w:w="4905" w:type="dxa"/>
            <w:noWrap w:val="0"/>
            <w:vAlign w:val="center"/>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省级高水平高职学校（个）</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0</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2</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13" w:type="dxa"/>
            <w:vMerge w:val="continue"/>
            <w:noWrap w:val="0"/>
            <w:vAlign w:val="center"/>
          </w:tcPr>
          <w:p>
            <w:pPr>
              <w:adjustRightInd w:val="0"/>
              <w:snapToGrid w:val="0"/>
              <w:spacing w:line="520" w:lineRule="exact"/>
              <w:ind w:firstLine="0" w:firstLineChars="0"/>
              <w:rPr>
                <w:rFonts w:hint="eastAsia" w:ascii="仿宋_GB2312" w:hAnsi="仿宋_GB2312" w:eastAsia="仿宋_GB2312" w:cs="仿宋_GB2312"/>
                <w:color w:val="auto"/>
                <w:sz w:val="28"/>
                <w:szCs w:val="28"/>
                <w:lang w:eastAsia="en-US"/>
              </w:rPr>
            </w:pPr>
          </w:p>
        </w:tc>
        <w:tc>
          <w:tcPr>
            <w:tcW w:w="4905" w:type="dxa"/>
            <w:noWrap w:val="0"/>
            <w:vAlign w:val="top"/>
          </w:tcPr>
          <w:p>
            <w:pPr>
              <w:adjustRightInd w:val="0"/>
              <w:snapToGrid w:val="0"/>
              <w:spacing w:line="48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省级高水平高职专业群（个）</w:t>
            </w:r>
          </w:p>
        </w:tc>
        <w:tc>
          <w:tcPr>
            <w:tcW w:w="1178"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3</w:t>
            </w:r>
          </w:p>
        </w:tc>
        <w:tc>
          <w:tcPr>
            <w:tcW w:w="1114"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12</w:t>
            </w:r>
          </w:p>
        </w:tc>
        <w:tc>
          <w:tcPr>
            <w:tcW w:w="1200" w:type="dxa"/>
            <w:noWrap w:val="0"/>
            <w:vAlign w:val="top"/>
          </w:tcPr>
          <w:p>
            <w:pPr>
              <w:adjustRightInd w:val="0"/>
              <w:snapToGrid w:val="0"/>
              <w:spacing w:line="480" w:lineRule="exact"/>
              <w:jc w:val="center"/>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lang w:eastAsia="en-US"/>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8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color w:val="auto"/>
                <w:sz w:val="28"/>
                <w:szCs w:val="28"/>
                <w:lang w:eastAsia="zh-CN"/>
              </w:rPr>
            </w:pPr>
            <w:bookmarkStart w:id="34" w:name="_Toc863871211_WPSOffice_Level1"/>
            <w:bookmarkStart w:id="35" w:name="_Toc98694799"/>
            <w:bookmarkStart w:id="36" w:name="_Toc1954984112_WPSOffice_Level1"/>
            <w:r>
              <w:rPr>
                <w:rFonts w:hint="eastAsia" w:ascii="仿宋_GB2312" w:hAnsi="仿宋_GB2312" w:eastAsia="仿宋_GB2312" w:cs="仿宋_GB2312"/>
                <w:color w:val="auto"/>
                <w:sz w:val="28"/>
                <w:szCs w:val="28"/>
                <w:lang w:eastAsia="zh-CN"/>
              </w:rPr>
              <w:t>人力资源开发</w:t>
            </w:r>
          </w:p>
        </w:tc>
        <w:tc>
          <w:tcPr>
            <w:tcW w:w="4905" w:type="dxa"/>
            <w:noWrap w:val="0"/>
            <w:vAlign w:val="center"/>
          </w:tcPr>
          <w:p>
            <w:pPr>
              <w:adjustRightInd w:val="0"/>
              <w:snapToGrid w:val="0"/>
              <w:spacing w:line="520" w:lineRule="exact"/>
              <w:jc w:val="left"/>
              <w:rPr>
                <w:rFonts w:hint="eastAsia" w:ascii="仿宋_GB2312" w:hAnsi="仿宋_GB2312" w:eastAsia="仿宋_GB2312" w:cs="仿宋_GB2312"/>
                <w:color w:val="auto"/>
                <w:sz w:val="28"/>
                <w:szCs w:val="28"/>
                <w:lang w:eastAsia="en-US"/>
              </w:rPr>
            </w:pPr>
            <w:r>
              <w:rPr>
                <w:rFonts w:hint="eastAsia" w:ascii="仿宋_GB2312" w:hAnsi="仿宋_GB2312" w:eastAsia="仿宋_GB2312" w:cs="仿宋_GB2312"/>
                <w:color w:val="auto"/>
                <w:sz w:val="28"/>
                <w:szCs w:val="28"/>
                <w:shd w:val="clear" w:color="auto" w:fill="auto"/>
              </w:rPr>
              <w:t>劳动年龄人口平均受教育年限</w:t>
            </w:r>
            <w:r>
              <w:rPr>
                <w:rFonts w:hint="eastAsia" w:ascii="仿宋_GB2312" w:hAnsi="仿宋_GB2312" w:eastAsia="仿宋_GB2312" w:cs="仿宋_GB2312"/>
                <w:color w:val="auto"/>
                <w:sz w:val="28"/>
                <w:szCs w:val="28"/>
                <w:shd w:val="clear" w:color="auto" w:fill="auto"/>
                <w:lang w:eastAsia="zh-CN"/>
              </w:rPr>
              <w:t>（</w:t>
            </w:r>
            <w:r>
              <w:rPr>
                <w:rFonts w:hint="eastAsia" w:ascii="仿宋_GB2312" w:hAnsi="仿宋_GB2312" w:eastAsia="仿宋_GB2312" w:cs="仿宋_GB2312"/>
                <w:color w:val="auto"/>
                <w:sz w:val="28"/>
                <w:szCs w:val="28"/>
                <w:shd w:val="clear" w:color="auto" w:fill="auto"/>
              </w:rPr>
              <w:t>年</w:t>
            </w:r>
            <w:r>
              <w:rPr>
                <w:rFonts w:hint="eastAsia" w:ascii="仿宋_GB2312" w:hAnsi="仿宋_GB2312" w:eastAsia="仿宋_GB2312" w:cs="仿宋_GB2312"/>
                <w:color w:val="auto"/>
                <w:sz w:val="28"/>
                <w:szCs w:val="28"/>
                <w:shd w:val="clear" w:color="auto" w:fill="auto"/>
                <w:lang w:eastAsia="zh-CN"/>
              </w:rPr>
              <w:t>）</w:t>
            </w:r>
          </w:p>
        </w:tc>
        <w:tc>
          <w:tcPr>
            <w:tcW w:w="1178"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11</w:t>
            </w:r>
          </w:p>
        </w:tc>
        <w:tc>
          <w:tcPr>
            <w:tcW w:w="1114"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11.5</w:t>
            </w:r>
          </w:p>
        </w:tc>
        <w:tc>
          <w:tcPr>
            <w:tcW w:w="1200" w:type="dxa"/>
            <w:noWrap w:val="0"/>
            <w:vAlign w:val="center"/>
          </w:tcPr>
          <w:p>
            <w:pPr>
              <w:adjustRightInd w:val="0"/>
              <w:snapToGrid w:val="0"/>
              <w:spacing w:line="52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约束性</w:t>
            </w:r>
          </w:p>
        </w:tc>
      </w:tr>
    </w:tbl>
    <w:p>
      <w:pPr>
        <w:pStyle w:val="3"/>
        <w:keepNext/>
        <w:keepLines/>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方正小标宋简体" w:hAnsi="方正小标宋简体" w:eastAsia="方正小标宋简体" w:cs="方正小标宋简体"/>
          <w:b w:val="0"/>
          <w:color w:val="auto"/>
          <w:sz w:val="36"/>
          <w:szCs w:val="36"/>
        </w:rPr>
      </w:pPr>
      <w:r>
        <w:rPr>
          <w:rFonts w:hint="eastAsia" w:ascii="方正小标宋简体" w:hAnsi="方正小标宋简体" w:eastAsia="方正小标宋简体" w:cs="方正小标宋简体"/>
          <w:b w:val="0"/>
          <w:color w:val="auto"/>
          <w:kern w:val="0"/>
          <w:sz w:val="36"/>
          <w:szCs w:val="36"/>
        </w:rPr>
        <w:t xml:space="preserve">第三章 </w:t>
      </w:r>
      <w:bookmarkEnd w:id="34"/>
      <w:r>
        <w:rPr>
          <w:rFonts w:hint="eastAsia" w:ascii="方正小标宋简体" w:hAnsi="方正小标宋简体" w:eastAsia="方正小标宋简体" w:cs="方正小标宋简体"/>
          <w:b w:val="0"/>
          <w:color w:val="auto"/>
          <w:kern w:val="0"/>
          <w:sz w:val="36"/>
          <w:szCs w:val="36"/>
        </w:rPr>
        <w:t>构建四大体系，优化教育高质量发展格局</w:t>
      </w:r>
      <w:bookmarkEnd w:id="35"/>
      <w:bookmarkEnd w:id="36"/>
    </w:p>
    <w:p>
      <w:pPr>
        <w:pStyle w:val="4"/>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cs="黑体"/>
          <w:b w:val="0"/>
          <w:bCs w:val="0"/>
          <w:color w:val="auto"/>
          <w:kern w:val="0"/>
        </w:rPr>
      </w:pPr>
      <w:bookmarkStart w:id="37" w:name="_Toc135014826_WPSOffice_Level2"/>
      <w:bookmarkStart w:id="38" w:name="_Toc98694800"/>
      <w:bookmarkStart w:id="39" w:name="_Toc1834232943_WPSOffice_Level2"/>
      <w:r>
        <w:rPr>
          <w:rFonts w:hint="eastAsia" w:ascii="黑体" w:hAnsi="黑体" w:eastAsia="黑体" w:cs="黑体"/>
          <w:b w:val="0"/>
          <w:bCs w:val="0"/>
          <w:color w:val="auto"/>
          <w:kern w:val="0"/>
        </w:rPr>
        <w:t>第一节 构建大中小幼一体化的思想政治工作体系</w:t>
      </w:r>
      <w:bookmarkEnd w:id="37"/>
      <w:bookmarkEnd w:id="38"/>
      <w:bookmarkEnd w:id="3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落实立德树人根本任务，以习近平新时代中国特色社会主义思想</w:t>
      </w:r>
      <w:r>
        <w:rPr>
          <w:rFonts w:hint="eastAsia" w:ascii="仿宋_GB2312" w:hAnsi="仿宋_GB2312" w:eastAsia="仿宋_GB2312" w:cs="仿宋_GB2312"/>
          <w:color w:val="auto"/>
          <w:sz w:val="32"/>
          <w:szCs w:val="32"/>
          <w:shd w:val="clear" w:color="auto" w:fill="auto"/>
        </w:rPr>
        <w:t>铸魂</w:t>
      </w:r>
      <w:r>
        <w:rPr>
          <w:rFonts w:hint="eastAsia" w:ascii="仿宋_GB2312" w:hAnsi="仿宋_GB2312" w:eastAsia="仿宋_GB2312" w:cs="仿宋_GB2312"/>
          <w:color w:val="auto"/>
          <w:sz w:val="32"/>
          <w:szCs w:val="32"/>
        </w:rPr>
        <w:t>育人，完善思想政治工作体系，</w:t>
      </w:r>
      <w:r>
        <w:rPr>
          <w:rFonts w:hint="eastAsia" w:ascii="仿宋_GB2312" w:hAnsi="仿宋_GB2312" w:eastAsia="仿宋_GB2312" w:cs="仿宋_GB2312"/>
          <w:color w:val="auto"/>
          <w:sz w:val="32"/>
          <w:szCs w:val="32"/>
          <w:shd w:val="clear" w:color="auto" w:fill="auto"/>
        </w:rPr>
        <w:t>厚植</w:t>
      </w:r>
      <w:r>
        <w:rPr>
          <w:rFonts w:hint="eastAsia" w:ascii="仿宋_GB2312" w:hAnsi="仿宋_GB2312" w:eastAsia="仿宋_GB2312" w:cs="仿宋_GB2312"/>
          <w:color w:val="auto"/>
          <w:sz w:val="32"/>
          <w:szCs w:val="32"/>
        </w:rPr>
        <w:t>学生的爱国主义情怀，传承红色基因和“好心文化”，深化中国梦主题宣传教育，培养担当民族复兴大任的时代新人。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坚持用习近平新时代中国特色社会主义思想</w:t>
      </w:r>
      <w:r>
        <w:rPr>
          <w:rFonts w:hint="eastAsia" w:ascii="仿宋_GB2312" w:hAnsi="仿宋_GB2312" w:eastAsia="仿宋_GB2312" w:cs="仿宋_GB2312"/>
          <w:b/>
          <w:bCs/>
          <w:color w:val="auto"/>
          <w:sz w:val="32"/>
          <w:szCs w:val="32"/>
          <w:shd w:val="clear" w:color="auto" w:fill="auto"/>
        </w:rPr>
        <w:t>铸魂</w:t>
      </w:r>
      <w:r>
        <w:rPr>
          <w:rFonts w:hint="eastAsia" w:ascii="仿宋_GB2312" w:hAnsi="仿宋_GB2312" w:eastAsia="仿宋_GB2312" w:cs="仿宋_GB2312"/>
          <w:b/>
          <w:bCs/>
          <w:color w:val="auto"/>
          <w:sz w:val="32"/>
          <w:szCs w:val="32"/>
        </w:rPr>
        <w:t>育人。</w:t>
      </w:r>
      <w:r>
        <w:rPr>
          <w:rFonts w:hint="eastAsia" w:ascii="仿宋_GB2312" w:hAnsi="仿宋_GB2312" w:eastAsia="仿宋_GB2312" w:cs="仿宋_GB2312"/>
          <w:color w:val="auto"/>
          <w:sz w:val="32"/>
          <w:szCs w:val="32"/>
        </w:rPr>
        <w:t>用好马克思主义理论研究和建设工程重点教材及中小学国家统编教材，完善以习近平新时代中国特色社会主义思想为核心内容的学校思政课建设，充分发挥课堂教学主渠道作用，充分挖掘学科课程蕴含的德育资源，强化全学科德育功能，创新教学方式，紧跟紧扣马克思主义中国化最新成果，坚持和发展中国特色社会主义最新经验，推动习近平新时代中国特色社会主义思想入脑入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pacing w:val="6"/>
          <w:sz w:val="32"/>
          <w:szCs w:val="32"/>
        </w:rPr>
      </w:pPr>
      <w:r>
        <w:rPr>
          <w:rFonts w:hint="eastAsia" w:ascii="仿宋_GB2312" w:hAnsi="仿宋_GB2312" w:eastAsia="仿宋_GB2312" w:cs="仿宋_GB2312"/>
          <w:b/>
          <w:bCs/>
          <w:color w:val="auto"/>
          <w:sz w:val="32"/>
          <w:szCs w:val="32"/>
        </w:rPr>
        <w:t>构建完善学校思想政治工作体系。</w:t>
      </w:r>
      <w:r>
        <w:rPr>
          <w:rFonts w:hint="eastAsia" w:ascii="仿宋_GB2312" w:hAnsi="仿宋_GB2312" w:eastAsia="仿宋_GB2312" w:cs="仿宋_GB2312"/>
          <w:color w:val="auto"/>
          <w:spacing w:val="6"/>
          <w:sz w:val="32"/>
          <w:szCs w:val="32"/>
        </w:rPr>
        <w:t>强化学校全体教职工育人意识，落实育人激励与约束措施，一体化构建以育人为导向的理论武装、学科教学、日常教育、队伍建设体系，实现全员、全程、全方位育人。全面推进课程</w:t>
      </w:r>
      <w:r>
        <w:rPr>
          <w:rFonts w:hint="eastAsia" w:ascii="仿宋_GB2312" w:hAnsi="仿宋_GB2312" w:eastAsia="仿宋_GB2312" w:cs="仿宋_GB2312"/>
          <w:color w:val="auto"/>
          <w:spacing w:val="6"/>
          <w:sz w:val="32"/>
          <w:szCs w:val="32"/>
          <w:shd w:val="clear" w:color="auto" w:fill="auto"/>
        </w:rPr>
        <w:t>思政</w:t>
      </w:r>
      <w:r>
        <w:rPr>
          <w:rStyle w:val="11"/>
          <w:rFonts w:hint="eastAsia" w:ascii="仿宋_GB2312" w:hAnsi="仿宋_GB2312" w:eastAsia="仿宋_GB2312" w:cs="仿宋_GB2312"/>
          <w:color w:val="auto"/>
          <w:spacing w:val="6"/>
          <w:sz w:val="32"/>
          <w:szCs w:val="32"/>
        </w:rPr>
        <w:footnoteReference w:id="2"/>
      </w:r>
      <w:r>
        <w:rPr>
          <w:rFonts w:hint="eastAsia" w:ascii="仿宋_GB2312" w:hAnsi="仿宋_GB2312" w:eastAsia="仿宋_GB2312" w:cs="仿宋_GB2312"/>
          <w:color w:val="auto"/>
          <w:spacing w:val="6"/>
          <w:sz w:val="32"/>
          <w:szCs w:val="32"/>
        </w:rPr>
        <w:t>建设，成立学校思政课教学指导委员会，落实党组织书记、校长开学上第一堂思政课制度，建设中小学思政课一体化协同创新基地、</w:t>
      </w:r>
      <w:r>
        <w:rPr>
          <w:rFonts w:hint="eastAsia" w:ascii="仿宋_GB2312" w:hAnsi="仿宋_GB2312" w:eastAsia="仿宋_GB2312" w:cs="仿宋_GB2312"/>
          <w:color w:val="auto"/>
          <w:spacing w:val="6"/>
          <w:sz w:val="32"/>
          <w:szCs w:val="32"/>
          <w:shd w:val="clear" w:color="auto" w:fill="auto"/>
        </w:rPr>
        <w:t>“八个相统一”</w:t>
      </w:r>
      <w:r>
        <w:rPr>
          <w:rStyle w:val="11"/>
          <w:rFonts w:hint="eastAsia" w:ascii="仿宋_GB2312" w:hAnsi="仿宋_GB2312" w:eastAsia="仿宋_GB2312" w:cs="仿宋_GB2312"/>
          <w:color w:val="auto"/>
          <w:spacing w:val="6"/>
          <w:sz w:val="32"/>
          <w:szCs w:val="32"/>
        </w:rPr>
        <w:footnoteReference w:id="3"/>
      </w:r>
      <w:r>
        <w:rPr>
          <w:rFonts w:hint="eastAsia" w:ascii="仿宋_GB2312" w:hAnsi="仿宋_GB2312" w:eastAsia="仿宋_GB2312" w:cs="仿宋_GB2312"/>
          <w:color w:val="auto"/>
          <w:spacing w:val="6"/>
          <w:sz w:val="32"/>
          <w:szCs w:val="32"/>
        </w:rPr>
        <w:t>思政课建设示范点。创新网络思想政治教育，依托学校智慧校园打造“互联网+”教育平台，整体推进网络教育阵地、队伍、工作机制、内容供给等建设。充分发挥校园文化、学生社团育人功能。</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b/>
          <w:bCs/>
          <w:color w:val="auto"/>
          <w:sz w:val="32"/>
          <w:szCs w:val="32"/>
          <w:highlight w:val="none"/>
          <w:shd w:val="clear" w:color="auto" w:fill="auto"/>
          <w:lang w:eastAsia="zh-CN"/>
        </w:rPr>
        <w:t>壮大建强学校思政工作队伍。</w:t>
      </w:r>
      <w:r>
        <w:rPr>
          <w:rFonts w:hint="eastAsia" w:ascii="仿宋_GB2312" w:hAnsi="仿宋_GB2312" w:eastAsia="仿宋_GB2312" w:cs="仿宋_GB2312"/>
          <w:color w:val="auto"/>
          <w:sz w:val="32"/>
          <w:szCs w:val="32"/>
          <w:highlight w:val="none"/>
          <w:shd w:val="clear" w:color="auto" w:fill="auto"/>
          <w:lang w:eastAsia="zh-CN"/>
        </w:rPr>
        <w:t>加强新时代中小学思政课教师队伍建设，加强思政课教师配备管理，培育、宣传师德标兵、优秀班主任等先进典型，培养造就一支政治强、情怀深、思维新、视野广、自律严、人格正的思政课教师队伍。严格落实上级关于高校思政课、思政工作和党务工作队伍配备的各项指标性要求，支持高校建立健全适合思政课岗位要求的评聘体系。支持高校结合学校实际情况为专职辅导员设置一定比例的正高级专业技术岗</w:t>
      </w:r>
      <w:r>
        <w:rPr>
          <w:rFonts w:hint="eastAsia" w:ascii="仿宋_GB2312" w:hAnsi="仿宋_GB2312" w:eastAsia="仿宋_GB2312" w:cs="仿宋_GB2312"/>
          <w:color w:val="auto"/>
          <w:spacing w:val="6"/>
          <w:sz w:val="32"/>
          <w:szCs w:val="32"/>
          <w:highlight w:val="none"/>
          <w:shd w:val="clear" w:color="auto" w:fill="auto"/>
          <w:lang w:eastAsia="zh-CN"/>
        </w:rPr>
        <w:t>位。鼓励高校加强思政课骨干教师研修，建设高校思政课名师工作室。持续提升思政工作、党务工作队伍素质能力和专业水平。</w:t>
      </w:r>
    </w:p>
    <w:p>
      <w:pPr>
        <w:keepNext w:val="0"/>
        <w:keepLines w:val="0"/>
        <w:pageBreakBefore w:val="0"/>
        <w:widowControl w:val="0"/>
        <w:kinsoku/>
        <w:wordWrap/>
        <w:overflowPunct/>
        <w:topLinePunct w:val="0"/>
        <w:autoSpaceDE/>
        <w:autoSpaceDN/>
        <w:bidi w:val="0"/>
        <w:adjustRightInd/>
        <w:snapToGrid/>
        <w:spacing w:after="156" w:afterLines="50"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把社会主义核心价值观融入教育全过程。</w:t>
      </w:r>
      <w:r>
        <w:rPr>
          <w:rFonts w:hint="eastAsia" w:ascii="仿宋_GB2312" w:hAnsi="仿宋_GB2312" w:eastAsia="仿宋_GB2312" w:cs="仿宋_GB2312"/>
          <w:color w:val="auto"/>
          <w:sz w:val="32"/>
          <w:szCs w:val="32"/>
        </w:rPr>
        <w:t>强化教育引导、实践养成、制度保障，把社会主义核心价值观内容和要求</w:t>
      </w:r>
      <w:r>
        <w:rPr>
          <w:rFonts w:hint="eastAsia" w:ascii="仿宋_GB2312" w:hAnsi="仿宋_GB2312" w:eastAsia="仿宋_GB2312" w:cs="仿宋_GB2312"/>
          <w:color w:val="auto"/>
          <w:sz w:val="32"/>
          <w:szCs w:val="32"/>
          <w:shd w:val="clear" w:color="auto" w:fill="auto"/>
        </w:rPr>
        <w:t>融入</w:t>
      </w:r>
      <w:r>
        <w:rPr>
          <w:rFonts w:hint="eastAsia" w:ascii="仿宋_GB2312" w:hAnsi="仿宋_GB2312" w:eastAsia="仿宋_GB2312" w:cs="仿宋_GB2312"/>
          <w:color w:val="auto"/>
          <w:sz w:val="32"/>
          <w:szCs w:val="32"/>
        </w:rPr>
        <w:t>学科体系、教材体系、教学体系。坚持爱国和爱党、爱社会主义高度统一，加强党史、新中国史、改革开放史、社会主义发展史教育。深入开展以爱国主义为核心的民族精神和以改革创新为核心的时代精神教育。用好党的百年奋斗历史经验和习近平新时代中国特色社会主义思想的生动实践，加大爱国主义教育内容的比重，创新爱国主义教育的形式。</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9060" w:type="dxa"/>
            <w:noWrap w:val="0"/>
            <w:vAlign w:val="top"/>
          </w:tcPr>
          <w:p>
            <w:pPr>
              <w:spacing w:line="500" w:lineRule="exact"/>
              <w:jc w:val="center"/>
              <w:rPr>
                <w:rFonts w:hint="eastAsia" w:ascii="仿宋_GB2312" w:hAnsi="仿宋_GB2312" w:eastAsia="仿宋_GB2312" w:cs="仿宋_GB2312"/>
                <w:b/>
                <w:bCs/>
                <w:color w:val="auto"/>
                <w:sz w:val="28"/>
                <w:szCs w:val="28"/>
                <w:lang w:eastAsia="en-US"/>
              </w:rPr>
            </w:pPr>
            <w:r>
              <w:rPr>
                <w:rFonts w:hint="eastAsia" w:ascii="仿宋_GB2312" w:hAnsi="仿宋_GB2312" w:eastAsia="仿宋_GB2312" w:cs="仿宋_GB2312"/>
                <w:b/>
                <w:bCs/>
                <w:color w:val="auto"/>
                <w:sz w:val="28"/>
                <w:szCs w:val="28"/>
                <w:lang w:eastAsia="en-US"/>
              </w:rPr>
              <w:t>专栏</w:t>
            </w:r>
            <w:r>
              <w:rPr>
                <w:rFonts w:hint="eastAsia" w:ascii="仿宋_GB2312" w:hAnsi="仿宋_GB2312" w:eastAsia="仿宋_GB2312" w:cs="仿宋_GB2312"/>
                <w:b/>
                <w:bCs/>
                <w:color w:val="auto"/>
                <w:sz w:val="28"/>
                <w:szCs w:val="28"/>
                <w:lang w:val="en-US" w:eastAsia="zh-CN"/>
              </w:rPr>
              <w:t>3</w:t>
            </w:r>
            <w:r>
              <w:rPr>
                <w:rFonts w:hint="eastAsia" w:ascii="仿宋_GB2312" w:hAnsi="仿宋_GB2312" w:eastAsia="仿宋_GB2312" w:cs="仿宋_GB2312"/>
                <w:b/>
                <w:bCs/>
                <w:color w:val="auto"/>
                <w:sz w:val="28"/>
                <w:szCs w:val="28"/>
                <w:lang w:eastAsia="en-US"/>
              </w:rPr>
              <w:t xml:space="preserve"> 新时代立德树人工程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5" w:hRule="atLeast"/>
        </w:trPr>
        <w:tc>
          <w:tcPr>
            <w:tcW w:w="9060" w:type="dxa"/>
            <w:noWrap w:val="0"/>
            <w:vAlign w:val="top"/>
          </w:tcPr>
          <w:p>
            <w:pPr>
              <w:adjustRightInd w:val="0"/>
              <w:snapToGrid w:val="0"/>
              <w:spacing w:line="500" w:lineRule="exact"/>
              <w:ind w:firstLine="560" w:firstLineChars="200"/>
              <w:rPr>
                <w:rFonts w:hint="eastAsia" w:ascii="仿宋_GB2312" w:hAnsi="仿宋_GB2312" w:eastAsia="仿宋_GB2312" w:cs="仿宋_GB2312"/>
                <w:b/>
                <w:bCs/>
                <w:color w:val="auto"/>
                <w:sz w:val="28"/>
                <w:szCs w:val="28"/>
                <w:lang w:eastAsia="en-US"/>
              </w:rPr>
            </w:pPr>
            <w:r>
              <w:rPr>
                <w:rFonts w:hint="eastAsia" w:ascii="仿宋_GB2312" w:hAnsi="仿宋_GB2312" w:eastAsia="仿宋_GB2312" w:cs="仿宋_GB2312"/>
                <w:color w:val="auto"/>
                <w:sz w:val="28"/>
                <w:szCs w:val="28"/>
                <w:lang w:eastAsia="zh-CN"/>
              </w:rPr>
              <w:t>推进</w:t>
            </w:r>
            <w:r>
              <w:rPr>
                <w:rFonts w:hint="eastAsia" w:ascii="仿宋_GB2312" w:hAnsi="仿宋_GB2312" w:eastAsia="仿宋_GB2312" w:cs="仿宋_GB2312"/>
                <w:color w:val="auto"/>
                <w:sz w:val="28"/>
                <w:szCs w:val="28"/>
                <w:lang w:eastAsia="en-US"/>
              </w:rPr>
              <w:t>实施习近平新时代中国特色社会主义思想“三进”工程</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eastAsia="en-US"/>
              </w:rPr>
              <w:t>进教材、进课堂、进头脑</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eastAsia="en-US"/>
              </w:rPr>
              <w:t>。完善学校思想政治工作体系。强化学校课程</w:t>
            </w:r>
            <w:r>
              <w:rPr>
                <w:rFonts w:hint="eastAsia" w:ascii="仿宋_GB2312" w:hAnsi="仿宋_GB2312" w:eastAsia="仿宋_GB2312" w:cs="仿宋_GB2312"/>
                <w:color w:val="auto"/>
                <w:sz w:val="28"/>
                <w:szCs w:val="28"/>
                <w:shd w:val="clear" w:color="auto" w:fill="auto"/>
                <w:lang w:eastAsia="en-US"/>
              </w:rPr>
              <w:t>思</w:t>
            </w:r>
            <w:r>
              <w:rPr>
                <w:rFonts w:hint="eastAsia" w:ascii="仿宋_GB2312" w:hAnsi="仿宋_GB2312" w:eastAsia="仿宋_GB2312" w:cs="仿宋_GB2312"/>
                <w:color w:val="auto"/>
                <w:sz w:val="28"/>
                <w:szCs w:val="28"/>
                <w:lang w:eastAsia="en-US"/>
              </w:rPr>
              <w:t>政建设，推进“四个一”试点工作，遴选建设50个左右市级课程</w:t>
            </w:r>
            <w:r>
              <w:rPr>
                <w:rFonts w:hint="eastAsia" w:ascii="仿宋_GB2312" w:hAnsi="仿宋_GB2312" w:eastAsia="仿宋_GB2312" w:cs="仿宋_GB2312"/>
                <w:color w:val="auto"/>
                <w:sz w:val="28"/>
                <w:szCs w:val="28"/>
                <w:shd w:val="clear" w:color="auto" w:fill="auto"/>
                <w:lang w:eastAsia="en-US"/>
              </w:rPr>
              <w:t>思政</w:t>
            </w:r>
            <w:r>
              <w:rPr>
                <w:rFonts w:hint="eastAsia" w:ascii="仿宋_GB2312" w:hAnsi="仿宋_GB2312" w:eastAsia="仿宋_GB2312" w:cs="仿宋_GB2312"/>
                <w:color w:val="auto"/>
                <w:sz w:val="28"/>
                <w:szCs w:val="28"/>
                <w:lang w:eastAsia="en-US"/>
              </w:rPr>
              <w:t>示范课堂、30个左右市级课程</w:t>
            </w:r>
            <w:r>
              <w:rPr>
                <w:rFonts w:hint="eastAsia" w:ascii="仿宋_GB2312" w:hAnsi="仿宋_GB2312" w:eastAsia="仿宋_GB2312" w:cs="仿宋_GB2312"/>
                <w:color w:val="auto"/>
                <w:sz w:val="28"/>
                <w:szCs w:val="28"/>
                <w:shd w:val="clear" w:color="auto" w:fill="auto"/>
                <w:lang w:eastAsia="en-US"/>
              </w:rPr>
              <w:t>思政</w:t>
            </w:r>
            <w:r>
              <w:rPr>
                <w:rFonts w:hint="eastAsia" w:ascii="仿宋_GB2312" w:hAnsi="仿宋_GB2312" w:eastAsia="仿宋_GB2312" w:cs="仿宋_GB2312"/>
                <w:color w:val="auto"/>
                <w:sz w:val="28"/>
                <w:szCs w:val="28"/>
                <w:lang w:eastAsia="en-US"/>
              </w:rPr>
              <w:t>示范团队、100所左右市级课程思政工作示范学校，打造一批校园网络文化作品。广泛开展习近平新时代中国特色社会主义思想学习实践主题活动，培育一批优秀学生社团。组织学生广泛开展理论宣讲、学习体验、专题调研等社会实践活动。</w:t>
            </w:r>
          </w:p>
        </w:tc>
      </w:tr>
    </w:tbl>
    <w:p>
      <w:pPr>
        <w:pStyle w:val="4"/>
        <w:pageBreakBefore w:val="0"/>
        <w:widowControl w:val="0"/>
        <w:kinsoku/>
        <w:wordWrap/>
        <w:overflowPunct/>
        <w:topLinePunct w:val="0"/>
        <w:autoSpaceDE/>
        <w:autoSpaceDN/>
        <w:bidi w:val="0"/>
        <w:adjustRightInd/>
        <w:snapToGrid/>
        <w:spacing w:before="156" w:beforeLines="50" w:after="156" w:afterLines="50" w:line="540" w:lineRule="exact"/>
        <w:jc w:val="center"/>
        <w:textAlignment w:val="auto"/>
        <w:rPr>
          <w:rFonts w:ascii="黑体" w:hAnsi="黑体" w:eastAsia="黑体" w:cs="黑体"/>
          <w:b w:val="0"/>
          <w:bCs w:val="0"/>
          <w:color w:val="auto"/>
          <w:kern w:val="0"/>
        </w:rPr>
      </w:pPr>
      <w:bookmarkStart w:id="40" w:name="_Toc1941022565_WPSOffice_Level2"/>
      <w:bookmarkStart w:id="41" w:name="_Toc1451562331_WPSOffice_Level2"/>
      <w:bookmarkStart w:id="42" w:name="_Toc98694801"/>
      <w:r>
        <w:rPr>
          <w:rFonts w:hint="eastAsia" w:ascii="黑体" w:hAnsi="黑体" w:eastAsia="黑体" w:cs="黑体"/>
          <w:b w:val="0"/>
          <w:bCs w:val="0"/>
          <w:color w:val="auto"/>
          <w:kern w:val="0"/>
        </w:rPr>
        <w:t>第二节 构建学校家庭社会协同育人体系</w:t>
      </w:r>
      <w:bookmarkEnd w:id="40"/>
      <w:bookmarkEnd w:id="41"/>
      <w:bookmarkEnd w:id="42"/>
    </w:p>
    <w:p>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发挥校内外各类教育资源的育人功能，强化校外教育与学校教育、家庭教育有效衔接，形成育人合力。</w:t>
      </w:r>
    </w:p>
    <w:p>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构建覆盖城乡的学校家庭教育指导服务体系</w:t>
      </w:r>
      <w:r>
        <w:rPr>
          <w:rFonts w:hint="eastAsia" w:ascii="仿宋_GB2312" w:hAnsi="仿宋_GB2312" w:eastAsia="仿宋_GB2312" w:cs="仿宋_GB2312"/>
          <w:b/>
          <w:bCs/>
          <w:color w:val="auto"/>
          <w:sz w:val="32"/>
          <w:szCs w:val="32"/>
          <w:shd w:val="clear" w:color="auto" w:fill="auto"/>
        </w:rPr>
        <w:t>。</w:t>
      </w:r>
      <w:r>
        <w:rPr>
          <w:rFonts w:hint="eastAsia" w:ascii="仿宋_GB2312" w:hAnsi="仿宋_GB2312" w:eastAsia="仿宋_GB2312" w:cs="仿宋_GB2312"/>
          <w:color w:val="auto"/>
          <w:sz w:val="32"/>
          <w:szCs w:val="32"/>
          <w:lang w:eastAsia="zh-CN"/>
        </w:rPr>
        <w:t>推动市本级、区（县级市）、镇（乡）建立家庭教育指导服务中心，社区（村）家长学校全覆盖，推进我市全国规范化家长学校实践活动实验区创建工作。</w:t>
      </w:r>
      <w:r>
        <w:rPr>
          <w:rFonts w:hint="eastAsia" w:ascii="仿宋_GB2312" w:hAnsi="仿宋_GB2312" w:eastAsia="仿宋_GB2312" w:cs="仿宋_GB2312"/>
          <w:color w:val="auto"/>
          <w:sz w:val="32"/>
          <w:szCs w:val="32"/>
        </w:rPr>
        <w:t>通过家访、家长学校、家长会、家</w:t>
      </w:r>
      <w:r>
        <w:rPr>
          <w:rFonts w:hint="eastAsia" w:ascii="仿宋_GB2312" w:hAnsi="仿宋_GB2312" w:eastAsia="仿宋_GB2312" w:cs="仿宋_GB2312"/>
          <w:color w:val="auto"/>
          <w:sz w:val="32"/>
          <w:szCs w:val="32"/>
          <w:shd w:val="clear" w:color="auto" w:fill="auto"/>
        </w:rPr>
        <w:t>校</w:t>
      </w:r>
      <w:r>
        <w:rPr>
          <w:rFonts w:hint="eastAsia" w:ascii="仿宋_GB2312" w:hAnsi="仿宋_GB2312" w:eastAsia="仿宋_GB2312" w:cs="仿宋_GB2312"/>
          <w:color w:val="auto"/>
          <w:sz w:val="32"/>
          <w:szCs w:val="32"/>
        </w:rPr>
        <w:t>委员会等形式深化家校合作。完善中小学教师家访制度，将家校联系情况纳入教师考核。推动建立家长志愿服务、家长义工等机制，引导家长积极参与学校管理、支持学校建设、参与学校教育教学活动。深入开展家庭教育指导，帮助家长树立正确教育观念，掌握科学的育人理念和方法。家</w:t>
      </w:r>
      <w:r>
        <w:rPr>
          <w:rFonts w:hint="eastAsia" w:ascii="仿宋_GB2312" w:hAnsi="仿宋_GB2312" w:eastAsia="仿宋_GB2312" w:cs="仿宋_GB2312"/>
          <w:color w:val="auto"/>
          <w:sz w:val="32"/>
          <w:szCs w:val="32"/>
          <w:shd w:val="clear" w:color="auto" w:fill="auto"/>
        </w:rPr>
        <w:t>校</w:t>
      </w:r>
      <w:r>
        <w:rPr>
          <w:rFonts w:hint="eastAsia" w:ascii="仿宋_GB2312" w:hAnsi="仿宋_GB2312" w:eastAsia="仿宋_GB2312" w:cs="仿宋_GB2312"/>
          <w:color w:val="auto"/>
          <w:sz w:val="32"/>
          <w:szCs w:val="32"/>
        </w:rPr>
        <w:t>协同加强中小学生作业、睡眠、手机</w:t>
      </w:r>
      <w:r>
        <w:rPr>
          <w:rFonts w:hint="eastAsia" w:ascii="仿宋_GB2312" w:hAnsi="仿宋_GB2312" w:eastAsia="仿宋_GB2312" w:cs="仿宋_GB2312"/>
          <w:color w:val="auto"/>
          <w:sz w:val="32"/>
          <w:szCs w:val="32"/>
          <w:lang w:eastAsia="zh-CN"/>
        </w:rPr>
        <w:t>使用</w:t>
      </w:r>
      <w:r>
        <w:rPr>
          <w:rFonts w:hint="eastAsia" w:ascii="仿宋_GB2312" w:hAnsi="仿宋_GB2312" w:eastAsia="仿宋_GB2312" w:cs="仿宋_GB2312"/>
          <w:color w:val="auto"/>
          <w:sz w:val="32"/>
          <w:szCs w:val="32"/>
        </w:rPr>
        <w:t>、读物、考试、体质管理，促进学生健康成长。</w:t>
      </w:r>
    </w:p>
    <w:p>
      <w:pPr>
        <w:pStyle w:val="2"/>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建立全社会协同育人的体制机制。</w:t>
      </w:r>
      <w:r>
        <w:rPr>
          <w:rFonts w:hint="eastAsia" w:ascii="仿宋_GB2312" w:hAnsi="仿宋_GB2312" w:eastAsia="仿宋_GB2312" w:cs="仿宋_GB2312"/>
          <w:color w:val="auto"/>
          <w:sz w:val="32"/>
          <w:szCs w:val="32"/>
        </w:rPr>
        <w:t>建立学校家庭社会全面参与的协同育人工作机制，完善公众参与学校议事、监督和意见反馈的制度和渠道，密切学校与家庭、社会的关系，引导社会各界主动承担教育职责，为青少年健康成长营造良好氛围。全面推进公共文化设施建设与开放，充分利用少年宫、图书馆、博物馆、美术馆、体育馆、爱国主义教育基地、廉政教育基地等育人资源，推进协同育人。鼓励学校以公益性为前提，与社区文化体育活动中心、勤工俭学服务中心、妇女儿童活动中心等第三方机构，以及合法合规、有安全保障、服务质量高的社会培训机构合作开展相关活动，丰富</w:t>
      </w:r>
      <w:r>
        <w:rPr>
          <w:rFonts w:hint="eastAsia" w:ascii="仿宋_GB2312" w:hAnsi="仿宋_GB2312" w:eastAsia="仿宋_GB2312" w:cs="仿宋_GB2312"/>
          <w:color w:val="auto"/>
          <w:sz w:val="32"/>
          <w:szCs w:val="32"/>
          <w:shd w:val="clear" w:color="auto" w:fill="auto"/>
        </w:rPr>
        <w:t>研</w:t>
      </w:r>
      <w:r>
        <w:rPr>
          <w:rFonts w:hint="eastAsia" w:ascii="仿宋_GB2312" w:hAnsi="仿宋_GB2312" w:eastAsia="仿宋_GB2312" w:cs="仿宋_GB2312"/>
          <w:color w:val="auto"/>
          <w:sz w:val="32"/>
          <w:szCs w:val="32"/>
        </w:rPr>
        <w:t>学实践教育资源。</w:t>
      </w:r>
    </w:p>
    <w:p>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sz w:val="32"/>
          <w:szCs w:val="32"/>
        </w:rPr>
        <w:t>加强</w:t>
      </w:r>
      <w:r>
        <w:rPr>
          <w:rFonts w:hint="eastAsia" w:ascii="仿宋_GB2312" w:hAnsi="仿宋_GB2312" w:eastAsia="仿宋_GB2312" w:cs="仿宋_GB2312"/>
          <w:b/>
          <w:bCs/>
          <w:color w:val="auto"/>
          <w:sz w:val="32"/>
          <w:szCs w:val="32"/>
          <w:lang w:eastAsia="zh-CN"/>
        </w:rPr>
        <w:t>学校和社会</w:t>
      </w:r>
      <w:r>
        <w:rPr>
          <w:rFonts w:hint="eastAsia" w:ascii="仿宋_GB2312" w:hAnsi="仿宋_GB2312" w:eastAsia="仿宋_GB2312" w:cs="仿宋_GB2312"/>
          <w:b/>
          <w:bCs/>
          <w:color w:val="auto"/>
          <w:sz w:val="32"/>
          <w:szCs w:val="32"/>
        </w:rPr>
        <w:t>语言文字工作。</w:t>
      </w:r>
      <w:r>
        <w:rPr>
          <w:rFonts w:hint="eastAsia" w:ascii="仿宋_GB2312" w:hAnsi="仿宋_GB2312" w:eastAsia="仿宋_GB2312" w:cs="仿宋_GB2312"/>
          <w:color w:val="auto"/>
          <w:kern w:val="2"/>
          <w:sz w:val="32"/>
          <w:szCs w:val="32"/>
          <w:lang w:val="en-US" w:eastAsia="zh-CN" w:bidi="ar-SA"/>
        </w:rPr>
        <w:t>健全完善茂名市语言文字工作委员会工作机制，加强语言人才培养和语言文字工作队伍建设。坚定不移推广普及国家通用语言文字，提高全市普通话普及率，加强语言文字规范化、标准化、信息化建设。探索建立国家语言文字推广基地，积极推进中华优秀语言文化传承发展，加强语言文化交流与传播，充分发挥语言文字工作育人功能。切实加强国家通用手语和国家通用盲文在学校和社会生活中的推广使用工作。</w:t>
      </w:r>
    </w:p>
    <w:p>
      <w:pPr>
        <w:pStyle w:val="4"/>
        <w:pageBreakBefore w:val="0"/>
        <w:widowControl w:val="0"/>
        <w:kinsoku/>
        <w:wordWrap/>
        <w:overflowPunct/>
        <w:topLinePunct w:val="0"/>
        <w:autoSpaceDE/>
        <w:autoSpaceDN/>
        <w:bidi w:val="0"/>
        <w:adjustRightInd/>
        <w:snapToGrid/>
        <w:spacing w:before="156" w:beforeLines="50" w:after="156" w:afterLines="50" w:line="540" w:lineRule="exact"/>
        <w:jc w:val="center"/>
        <w:textAlignment w:val="auto"/>
        <w:rPr>
          <w:rFonts w:ascii="黑体" w:hAnsi="黑体" w:eastAsia="黑体" w:cs="黑体"/>
          <w:b w:val="0"/>
          <w:bCs w:val="0"/>
          <w:color w:val="auto"/>
          <w:kern w:val="0"/>
        </w:rPr>
      </w:pPr>
      <w:bookmarkStart w:id="43" w:name="_Toc1319026098_WPSOffice_Level2"/>
      <w:bookmarkStart w:id="44" w:name="_Toc2050134961_WPSOffice_Level2"/>
      <w:bookmarkStart w:id="45" w:name="_Toc98694802"/>
      <w:r>
        <w:rPr>
          <w:rFonts w:hint="eastAsia" w:ascii="黑体" w:hAnsi="黑体" w:eastAsia="黑体" w:cs="黑体"/>
          <w:b w:val="0"/>
          <w:bCs w:val="0"/>
          <w:color w:val="auto"/>
          <w:kern w:val="0"/>
        </w:rPr>
        <w:t>第三节 构建服务全民终身学习的教育体系</w:t>
      </w:r>
      <w:bookmarkEnd w:id="43"/>
      <w:bookmarkEnd w:id="44"/>
      <w:bookmarkEnd w:id="45"/>
    </w:p>
    <w:p>
      <w:pPr>
        <w:pageBreakBefore w:val="0"/>
        <w:widowControl w:val="0"/>
        <w:kinsoku/>
        <w:wordWrap/>
        <w:overflowPunct/>
        <w:topLinePunct w:val="0"/>
        <w:autoSpaceDE/>
        <w:autoSpaceDN/>
        <w:bidi w:val="0"/>
        <w:adjustRightInd/>
        <w:snapToGrid/>
        <w:spacing w:after="156" w:afterLines="50" w:line="540" w:lineRule="exact"/>
        <w:ind w:firstLine="640" w:firstLineChars="200"/>
        <w:textAlignment w:val="auto"/>
        <w:rPr>
          <w:rFonts w:hint="eastAsia" w:ascii="仿宋_GB2312" w:hAnsi="仿宋_GB2312" w:eastAsia="仿宋_GB2312" w:cs="仿宋_GB2312"/>
          <w:color w:val="auto"/>
          <w:sz w:val="21"/>
          <w:szCs w:val="24"/>
          <w:lang w:eastAsia="zh-CN"/>
        </w:rPr>
      </w:pPr>
      <w:bookmarkStart w:id="46" w:name="_Toc98693822"/>
      <w:r>
        <w:rPr>
          <w:rFonts w:hint="eastAsia" w:ascii="仿宋_GB2312" w:hAnsi="仿宋_GB2312" w:eastAsia="仿宋_GB2312" w:cs="仿宋_GB2312"/>
          <w:color w:val="auto"/>
          <w:sz w:val="32"/>
          <w:szCs w:val="32"/>
        </w:rPr>
        <w:t>进一步完善终身学习机制，提倡全民学习，把学习作为一种兴趣、习惯、精神需求、生活方式，加快建设学习型社会。推进各类教育互联互通、共建共享，拓宽人才成长多元通道。推动职业院校落实学历教育与培训并举的法定职责，扩大社区教育和非学历继续教育规模，开设适应社会需求的课程。</w:t>
      </w:r>
      <w:r>
        <w:rPr>
          <w:rFonts w:hint="eastAsia" w:ascii="仿宋_GB2312" w:hAnsi="仿宋_GB2312" w:eastAsia="仿宋_GB2312" w:cs="仿宋_GB2312"/>
          <w:color w:val="auto"/>
          <w:sz w:val="32"/>
          <w:szCs w:val="32"/>
          <w:lang w:eastAsia="zh-CN"/>
        </w:rPr>
        <w:t>办好老年大学，推动老年教育高质量发展。</w:t>
      </w:r>
      <w:r>
        <w:rPr>
          <w:rFonts w:hint="eastAsia" w:ascii="仿宋_GB2312" w:hAnsi="仿宋_GB2312" w:eastAsia="仿宋_GB2312" w:cs="仿宋_GB2312"/>
          <w:color w:val="auto"/>
          <w:sz w:val="32"/>
          <w:szCs w:val="32"/>
        </w:rPr>
        <w:t>鼓励乡镇成人文化技术学校、其他成人教育机构和普通高校发挥自身优势，面向社会大众拓展继续教育项目。依托“学习强国”等APP、各级各类机构和学校的官方网站、微信公众号等平台，汇聚各行各业的资源和学习培训信息，发挥在线教育优势，为公民</w:t>
      </w:r>
      <w:r>
        <w:rPr>
          <w:rFonts w:hint="eastAsia" w:ascii="仿宋_GB2312" w:hAnsi="仿宋_GB2312" w:eastAsia="仿宋_GB2312" w:cs="仿宋_GB2312"/>
          <w:color w:val="auto"/>
          <w:sz w:val="32"/>
          <w:szCs w:val="32"/>
          <w:lang w:eastAsia="zh-CN"/>
        </w:rPr>
        <w:t>提供</w:t>
      </w:r>
      <w:r>
        <w:rPr>
          <w:rFonts w:hint="eastAsia" w:ascii="仿宋_GB2312" w:hAnsi="仿宋_GB2312" w:eastAsia="仿宋_GB2312" w:cs="仿宋_GB2312"/>
          <w:color w:val="auto"/>
          <w:sz w:val="32"/>
          <w:szCs w:val="32"/>
        </w:rPr>
        <w:t>更多的学习途径。推动社区学习中心建设，鼓励机关、企事业单位、社会组织开放学习场所和相关设施设备。面向退役军人和武警官兵、进城务工人员、下岗失业人员、城镇化进程中的新市民、城乡待业人员等社会群体，提供多样化教育与培训服务。</w:t>
      </w:r>
      <w:bookmarkEnd w:id="46"/>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jc w:val="center"/>
              <w:rPr>
                <w:rFonts w:hint="eastAsia" w:ascii="仿宋_GB2312" w:hAnsi="仿宋_GB2312" w:eastAsia="仿宋_GB2312" w:cs="仿宋_GB2312"/>
                <w:b/>
                <w:bCs/>
                <w:color w:val="auto"/>
                <w:sz w:val="32"/>
                <w:szCs w:val="32"/>
                <w:lang w:eastAsia="en-US"/>
              </w:rPr>
            </w:pPr>
            <w:r>
              <w:rPr>
                <w:rFonts w:hint="eastAsia" w:ascii="仿宋_GB2312" w:hAnsi="仿宋_GB2312" w:eastAsia="仿宋_GB2312" w:cs="仿宋_GB2312"/>
                <w:b/>
                <w:bCs/>
                <w:color w:val="auto"/>
                <w:sz w:val="28"/>
                <w:szCs w:val="28"/>
                <w:lang w:eastAsia="en-US"/>
              </w:rPr>
              <w:t>专栏</w:t>
            </w:r>
            <w:r>
              <w:rPr>
                <w:rFonts w:hint="eastAsia" w:ascii="仿宋_GB2312" w:hAnsi="仿宋_GB2312" w:eastAsia="仿宋_GB2312" w:cs="仿宋_GB2312"/>
                <w:b/>
                <w:bCs/>
                <w:color w:val="auto"/>
                <w:sz w:val="28"/>
                <w:szCs w:val="28"/>
                <w:lang w:val="en-US" w:eastAsia="zh-CN"/>
              </w:rPr>
              <w:t>4</w:t>
            </w:r>
            <w:r>
              <w:rPr>
                <w:rFonts w:hint="eastAsia" w:ascii="仿宋_GB2312" w:hAnsi="仿宋_GB2312" w:eastAsia="仿宋_GB2312" w:cs="仿宋_GB2312"/>
                <w:b/>
                <w:bCs/>
                <w:color w:val="auto"/>
                <w:sz w:val="28"/>
                <w:szCs w:val="28"/>
                <w:lang w:eastAsia="en-US"/>
              </w:rPr>
              <w:t xml:space="preserve"> 继续教育质量提升工程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ind w:firstLine="480" w:firstLineChars="200"/>
              <w:rPr>
                <w:rFonts w:hint="eastAsia" w:ascii="仿宋_GB2312" w:hAnsi="仿宋_GB2312" w:eastAsia="仿宋_GB2312" w:cs="仿宋_GB2312"/>
                <w:b/>
                <w:bCs/>
                <w:color w:val="auto"/>
                <w:sz w:val="32"/>
                <w:szCs w:val="32"/>
                <w:lang w:eastAsia="en-US"/>
              </w:rPr>
            </w:pPr>
            <w:r>
              <w:rPr>
                <w:rFonts w:hint="eastAsia" w:ascii="仿宋_GB2312" w:hAnsi="仿宋_GB2312" w:eastAsia="仿宋_GB2312" w:cs="仿宋_GB2312"/>
                <w:color w:val="auto"/>
                <w:sz w:val="24"/>
                <w:szCs w:val="24"/>
                <w:lang w:eastAsia="en-US"/>
              </w:rPr>
              <w:t>建设5个示范性继续教育基地，推广一批优质继续教育网络课程，建设一批社区教育示范基地、社区教育创新区，遴选一批终身学习品牌项目和终身学习之星。</w:t>
            </w:r>
          </w:p>
        </w:tc>
      </w:tr>
    </w:tbl>
    <w:p>
      <w:pPr>
        <w:pStyle w:val="4"/>
        <w:keepNext/>
        <w:keepLines/>
        <w:pageBreakBefore w:val="0"/>
        <w:widowControl w:val="0"/>
        <w:kinsoku/>
        <w:wordWrap/>
        <w:overflowPunct/>
        <w:topLinePunct w:val="0"/>
        <w:autoSpaceDE/>
        <w:autoSpaceDN/>
        <w:bidi w:val="0"/>
        <w:adjustRightInd/>
        <w:snapToGrid/>
        <w:spacing w:before="156" w:beforeLines="50" w:after="156" w:afterLines="50" w:line="540" w:lineRule="exact"/>
        <w:jc w:val="center"/>
        <w:textAlignment w:val="auto"/>
        <w:rPr>
          <w:rFonts w:ascii="黑体" w:hAnsi="黑体" w:eastAsia="黑体" w:cs="黑体"/>
          <w:b w:val="0"/>
          <w:bCs w:val="0"/>
          <w:color w:val="auto"/>
          <w:kern w:val="0"/>
        </w:rPr>
      </w:pPr>
      <w:bookmarkStart w:id="47" w:name="_Toc1664857094_WPSOffice_Level2"/>
      <w:bookmarkStart w:id="48" w:name="_Toc98694803"/>
      <w:r>
        <w:rPr>
          <w:rFonts w:hint="eastAsia" w:ascii="黑体" w:hAnsi="黑体" w:eastAsia="黑体" w:cs="黑体"/>
          <w:b w:val="0"/>
          <w:bCs w:val="0"/>
          <w:color w:val="auto"/>
          <w:kern w:val="0"/>
        </w:rPr>
        <w:t>第四节 构建现代化教育支撑体系</w:t>
      </w:r>
      <w:bookmarkEnd w:id="47"/>
      <w:bookmarkEnd w:id="48"/>
    </w:p>
    <w:p>
      <w:pPr>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加快推进教育新型基础设施建设，构建现代化教育支撑体系，推动新一代信息技术与教育教学深度融合，推进网络化智能化教育管理与服务，保障网络与信息安全。</w:t>
      </w:r>
    </w:p>
    <w:p>
      <w:pPr>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构建现代化教育装备体系。</w:t>
      </w:r>
      <w:r>
        <w:rPr>
          <w:rFonts w:hint="eastAsia" w:ascii="仿宋_GB2312" w:hAnsi="仿宋_GB2312" w:eastAsia="仿宋_GB2312" w:cs="仿宋_GB2312"/>
          <w:color w:val="auto"/>
          <w:sz w:val="32"/>
          <w:szCs w:val="32"/>
        </w:rPr>
        <w:t>认真执行国家和省基础教育现代化装备标准，加强功能室建设和装备配备，推进智慧教室、学科功能教室、综合实验室、创新实验室、教育</w:t>
      </w:r>
      <w:r>
        <w:rPr>
          <w:rFonts w:hint="eastAsia" w:ascii="仿宋_GB2312" w:hAnsi="仿宋_GB2312" w:eastAsia="仿宋_GB2312" w:cs="仿宋_GB2312"/>
          <w:color w:val="auto"/>
          <w:sz w:val="32"/>
          <w:szCs w:val="32"/>
          <w:shd w:val="clear" w:color="auto" w:fill="auto"/>
        </w:rPr>
        <w:t>创客</w:t>
      </w:r>
      <w:r>
        <w:rPr>
          <w:rFonts w:hint="eastAsia" w:ascii="仿宋_GB2312" w:hAnsi="仿宋_GB2312" w:eastAsia="仿宋_GB2312" w:cs="仿宋_GB2312"/>
          <w:color w:val="auto"/>
          <w:sz w:val="32"/>
          <w:szCs w:val="32"/>
        </w:rPr>
        <w:t>空间等特色实验教学空间建设。到2025年，网络多媒体教室每百名小学、初中学生分别达到2.3间和2.4间以上。创建一批市级实验教学改革实验区和实验学校，积极推进“互联网+”课程计划，加快建设一批中小学特色课程，培育一批课程创新共同体，打造一大批优质实验教学精品课。健全实验室安全责任体系，完善实验安全管理制度，加强实验室安全教育。强化中小学图书馆（室）建设，推进图书馆（室）信息化管理。</w:t>
      </w:r>
    </w:p>
    <w:p>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推进数字教育资源高效配置和网络学习空间建设。</w:t>
      </w:r>
      <w:r>
        <w:rPr>
          <w:rFonts w:hint="eastAsia" w:ascii="仿宋_GB2312" w:hAnsi="仿宋_GB2312" w:eastAsia="仿宋_GB2312" w:cs="仿宋_GB2312"/>
          <w:color w:val="auto"/>
          <w:sz w:val="32"/>
          <w:szCs w:val="40"/>
        </w:rPr>
        <w:t>实施教育新基建工程，基本完成基于IPv6</w:t>
      </w:r>
      <w:r>
        <w:rPr>
          <w:rStyle w:val="11"/>
          <w:rFonts w:hint="eastAsia" w:ascii="仿宋_GB2312" w:hAnsi="仿宋_GB2312" w:eastAsia="仿宋_GB2312" w:cs="仿宋_GB2312"/>
          <w:color w:val="auto"/>
          <w:sz w:val="32"/>
          <w:szCs w:val="40"/>
        </w:rPr>
        <w:footnoteReference w:id="4"/>
      </w:r>
      <w:r>
        <w:rPr>
          <w:rFonts w:hint="eastAsia" w:ascii="仿宋_GB2312" w:hAnsi="仿宋_GB2312" w:eastAsia="仿宋_GB2312" w:cs="仿宋_GB2312"/>
          <w:color w:val="auto"/>
          <w:sz w:val="32"/>
          <w:szCs w:val="40"/>
        </w:rPr>
        <w:t>和5G 的教育网络信息系统升级改造，实现高速局域网学校全覆盖和提质增速。构建“互联网+”教育新形态，建设教育行业</w:t>
      </w:r>
      <w:r>
        <w:rPr>
          <w:rFonts w:hint="eastAsia" w:ascii="仿宋_GB2312" w:hAnsi="仿宋_GB2312" w:eastAsia="仿宋_GB2312" w:cs="仿宋_GB2312"/>
          <w:color w:val="auto"/>
          <w:sz w:val="32"/>
          <w:szCs w:val="40"/>
          <w:shd w:val="clear" w:color="auto" w:fill="auto"/>
        </w:rPr>
        <w:t>云</w:t>
      </w:r>
      <w:r>
        <w:rPr>
          <w:rFonts w:hint="eastAsia" w:ascii="仿宋_GB2312" w:hAnsi="仿宋_GB2312" w:eastAsia="仿宋_GB2312" w:cs="仿宋_GB2312"/>
          <w:color w:val="auto"/>
          <w:sz w:val="32"/>
          <w:szCs w:val="40"/>
        </w:rPr>
        <w:t>，建设学生成长档案，利用互联网、人工智能和大数据推行“无感式”“伴随式”课程与质量监测，实现规模化教育与个性化培养有机结合，支持差异化的“教”和个性化的“学”，构建课堂教学创新实践共同体。深化信息技术与教育教学融合创新</w:t>
      </w:r>
      <w:r>
        <w:rPr>
          <w:rFonts w:hint="eastAsia" w:ascii="仿宋_GB2312" w:hAnsi="仿宋_GB2312" w:eastAsia="仿宋_GB2312" w:cs="仿宋_GB2312"/>
          <w:color w:val="auto"/>
          <w:sz w:val="32"/>
          <w:szCs w:val="40"/>
          <w:lang w:eastAsia="zh-CN"/>
        </w:rPr>
        <w:t>，深化国家中小学网络云平台应用，发挥国家电视空中课堂频道作用，探索大中小学智慧教室和智慧课堂建设，深化网络学习空间应用，改进课堂教学模式和学生评价方式。</w:t>
      </w:r>
      <w:r>
        <w:rPr>
          <w:rFonts w:hint="eastAsia" w:ascii="仿宋_GB2312" w:hAnsi="仿宋_GB2312" w:eastAsia="仿宋_GB2312" w:cs="仿宋_GB2312"/>
          <w:color w:val="auto"/>
          <w:sz w:val="32"/>
          <w:szCs w:val="40"/>
        </w:rPr>
        <w:t>构建教育大资源服务体系，以网络学习空间为纽带贯通学校教学、管理、评价等核心业务，以“国家</w:t>
      </w:r>
      <w:r>
        <w:rPr>
          <w:rFonts w:hint="eastAsia" w:ascii="仿宋_GB2312" w:hAnsi="仿宋_GB2312" w:eastAsia="仿宋_GB2312" w:cs="仿宋_GB2312"/>
          <w:color w:val="auto"/>
          <w:sz w:val="32"/>
          <w:szCs w:val="40"/>
          <w:lang w:eastAsia="zh-CN"/>
        </w:rPr>
        <w:t>智慧教育公共服务平台</w:t>
      </w:r>
      <w:r>
        <w:rPr>
          <w:rFonts w:hint="eastAsia" w:ascii="仿宋_GB2312" w:hAnsi="仿宋_GB2312" w:eastAsia="仿宋_GB2312" w:cs="仿宋_GB2312"/>
          <w:color w:val="auto"/>
          <w:sz w:val="32"/>
          <w:szCs w:val="40"/>
        </w:rPr>
        <w:t>”“</w:t>
      </w:r>
      <w:r>
        <w:rPr>
          <w:rFonts w:hint="eastAsia" w:ascii="仿宋_GB2312" w:hAnsi="仿宋_GB2312" w:eastAsia="仿宋_GB2312" w:cs="仿宋_GB2312"/>
          <w:color w:val="auto"/>
          <w:sz w:val="32"/>
          <w:szCs w:val="40"/>
          <w:shd w:val="clear" w:color="auto" w:fill="auto"/>
        </w:rPr>
        <w:t>粤</w:t>
      </w:r>
      <w:r>
        <w:rPr>
          <w:rFonts w:hint="eastAsia" w:ascii="仿宋_GB2312" w:hAnsi="仿宋_GB2312" w:eastAsia="仿宋_GB2312" w:cs="仿宋_GB2312"/>
          <w:color w:val="auto"/>
          <w:sz w:val="32"/>
          <w:szCs w:val="40"/>
        </w:rPr>
        <w:t>教</w:t>
      </w:r>
      <w:r>
        <w:rPr>
          <w:rFonts w:hint="eastAsia" w:ascii="仿宋_GB2312" w:hAnsi="仿宋_GB2312" w:eastAsia="仿宋_GB2312" w:cs="仿宋_GB2312"/>
          <w:color w:val="auto"/>
          <w:sz w:val="32"/>
          <w:szCs w:val="40"/>
          <w:shd w:val="clear" w:color="auto" w:fill="auto"/>
        </w:rPr>
        <w:t>翔</w:t>
      </w:r>
      <w:r>
        <w:rPr>
          <w:rFonts w:hint="eastAsia" w:ascii="仿宋_GB2312" w:hAnsi="仿宋_GB2312" w:eastAsia="仿宋_GB2312" w:cs="仿宋_GB2312"/>
          <w:color w:val="auto"/>
          <w:sz w:val="32"/>
          <w:szCs w:val="40"/>
        </w:rPr>
        <w:t>云”“茂名人人通教育平台”等教育资源公共服务平台为基础，以课程化资源为主体，构建多元共建、开放共享的优质数字教育资源有效供给和服务机制。</w:t>
      </w:r>
    </w:p>
    <w:p>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auto"/>
        <w:rPr>
          <w:rFonts w:hint="eastAsia"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推动教育大数据建设与应用。</w:t>
      </w:r>
      <w:r>
        <w:rPr>
          <w:rFonts w:hint="eastAsia" w:ascii="仿宋_GB2312" w:hAnsi="仿宋_GB2312" w:eastAsia="仿宋_GB2312" w:cs="仿宋_GB2312"/>
          <w:color w:val="auto"/>
          <w:sz w:val="32"/>
          <w:szCs w:val="40"/>
        </w:rPr>
        <w:t>构建基于教育事业统计和教育评价的全市教育数据治理和服务体系，按照“标准先行、应用驱动、协同推进、逐步完善”思路，整体推进教育大数据综合治理和服务体系建设。全面梳理教育各领域各方面各环节的业务流程和数据供需情况，描绘全域数据需求与服务数字图谱。建设大数据综合治理服务平台，按需进行教育数据采集、汇聚、分析、共享和服务，全面支撑教育治理与教育教学工作</w:t>
      </w:r>
      <w:r>
        <w:rPr>
          <w:rFonts w:hint="eastAsia" w:ascii="仿宋_GB2312" w:hAnsi="仿宋_GB2312" w:eastAsia="仿宋_GB2312" w:cs="仿宋_GB2312"/>
          <w:color w:val="auto"/>
          <w:sz w:val="32"/>
          <w:szCs w:val="40"/>
          <w:shd w:val="clear" w:color="auto" w:fill="auto"/>
        </w:rPr>
        <w:t>。</w:t>
      </w:r>
    </w:p>
    <w:p>
      <w:pPr>
        <w:pStyle w:val="2"/>
        <w:keepNext w:val="0"/>
        <w:keepLines w:val="0"/>
        <w:pageBreakBefore w:val="0"/>
        <w:widowControl w:val="0"/>
        <w:kinsoku/>
        <w:wordWrap/>
        <w:overflowPunct/>
        <w:topLinePunct w:val="0"/>
        <w:autoSpaceDE/>
        <w:autoSpaceDN/>
        <w:bidi w:val="0"/>
        <w:snapToGrid/>
        <w:spacing w:after="156" w:afterLines="50" w:line="540" w:lineRule="exact"/>
        <w:ind w:left="0" w:leftChars="0" w:firstLine="640" w:firstLineChars="200"/>
        <w:textAlignment w:val="auto"/>
        <w:rPr>
          <w:rFonts w:hint="eastAsia"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32"/>
        </w:rPr>
        <w:t>强化教育系统网络信息与数据安全。</w:t>
      </w:r>
      <w:r>
        <w:rPr>
          <w:rFonts w:hint="eastAsia" w:ascii="仿宋_GB2312" w:hAnsi="仿宋_GB2312" w:eastAsia="仿宋_GB2312" w:cs="仿宋_GB2312"/>
          <w:color w:val="auto"/>
          <w:sz w:val="32"/>
          <w:szCs w:val="40"/>
          <w:shd w:val="clear" w:color="auto" w:fill="auto"/>
        </w:rPr>
        <w:t>落实国家网络安全等级保护2.0要求，强化教育网络安全监管主体责任，加强教育管理与教育教学数据资料安全与个人隐私保护。</w:t>
      </w:r>
      <w:r>
        <w:rPr>
          <w:rFonts w:hint="eastAsia" w:ascii="仿宋_GB2312" w:hAnsi="仿宋_GB2312" w:eastAsia="仿宋_GB2312" w:cs="仿宋_GB2312"/>
          <w:color w:val="auto"/>
          <w:sz w:val="32"/>
          <w:szCs w:val="40"/>
        </w:rPr>
        <w:t>加强教育系统网络与信息安全制度和管理机制建设，建立多层级网络安全监测体系，完善网络安全预警通报机制，提高网络安全技术支持、控制和保障水平。加强线上教育意识形态安全管理和网络安全管理，提高网络与信息系统检测能力和响应能力，形成网络突发事件应对合力，提升网络与信息安全保障能力。</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adjustRightInd w:val="0"/>
              <w:spacing w:line="400" w:lineRule="exact"/>
              <w:jc w:val="center"/>
              <w:rPr>
                <w:rFonts w:hint="eastAsia" w:ascii="仿宋_GB2312" w:hAnsi="仿宋_GB2312" w:eastAsia="仿宋_GB2312" w:cs="仿宋_GB2312"/>
                <w:b/>
                <w:bCs/>
                <w:color w:val="auto"/>
                <w:sz w:val="32"/>
                <w:szCs w:val="32"/>
                <w:lang w:eastAsia="en-US"/>
              </w:rPr>
            </w:pPr>
            <w:r>
              <w:rPr>
                <w:rFonts w:hint="eastAsia" w:ascii="仿宋_GB2312" w:hAnsi="仿宋_GB2312" w:eastAsia="仿宋_GB2312" w:cs="仿宋_GB2312"/>
                <w:b/>
                <w:bCs/>
                <w:color w:val="auto"/>
                <w:sz w:val="28"/>
                <w:szCs w:val="28"/>
                <w:lang w:eastAsia="en-US"/>
              </w:rPr>
              <w:t>专栏</w:t>
            </w:r>
            <w:r>
              <w:rPr>
                <w:rFonts w:hint="eastAsia" w:ascii="仿宋_GB2312" w:hAnsi="仿宋_GB2312" w:eastAsia="仿宋_GB2312" w:cs="仿宋_GB2312"/>
                <w:b/>
                <w:bCs/>
                <w:color w:val="auto"/>
                <w:sz w:val="28"/>
                <w:szCs w:val="28"/>
                <w:lang w:val="en-US" w:eastAsia="zh-CN"/>
              </w:rPr>
              <w:t>5</w:t>
            </w:r>
            <w:r>
              <w:rPr>
                <w:rFonts w:hint="eastAsia" w:ascii="仿宋_GB2312" w:hAnsi="仿宋_GB2312" w:eastAsia="仿宋_GB2312" w:cs="仿宋_GB2312"/>
                <w:b/>
                <w:bCs/>
                <w:color w:val="auto"/>
                <w:sz w:val="28"/>
                <w:szCs w:val="28"/>
                <w:lang w:eastAsia="en-US"/>
              </w:rPr>
              <w:t xml:space="preserve"> 教育信息化创新工程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0" w:type="dxa"/>
            <w:noWrap w:val="0"/>
            <w:vAlign w:val="top"/>
          </w:tcPr>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color w:val="auto"/>
                <w:sz w:val="24"/>
                <w:szCs w:val="24"/>
                <w:lang w:eastAsia="en-US"/>
              </w:rPr>
              <w:t>基本完成教育系统基于IPv6和5G的下一代互联网基础设施设备和信息系统升级改造。提速城域网光纤到学校教育宽带网带宽不低于1G。制定数字教育资源建设和应用五年行动计划。加快教育信息化中心学校、信息化融合创新培育推广项目、教育信息化教学应用创新实践共同体项目等建设，选择一个</w:t>
            </w:r>
            <w:r>
              <w:rPr>
                <w:rFonts w:hint="eastAsia" w:ascii="仿宋_GB2312" w:hAnsi="仿宋_GB2312" w:eastAsia="仿宋_GB2312" w:cs="仿宋_GB2312"/>
                <w:color w:val="auto"/>
                <w:sz w:val="24"/>
                <w:szCs w:val="24"/>
                <w:lang w:eastAsia="zh-CN"/>
              </w:rPr>
              <w:t>区（县级市、经济功能区）</w:t>
            </w:r>
            <w:r>
              <w:rPr>
                <w:rFonts w:hint="eastAsia" w:ascii="仿宋_GB2312" w:hAnsi="仿宋_GB2312" w:eastAsia="仿宋_GB2312" w:cs="仿宋_GB2312"/>
                <w:color w:val="auto"/>
                <w:sz w:val="24"/>
                <w:szCs w:val="24"/>
                <w:lang w:eastAsia="en-US"/>
              </w:rPr>
              <w:t>开展“爱种子”教学改革试点。实施中小学教师信息技术应用能力提升工程2.0，进一步推广网络教研和名师课堂活动，深入开展</w:t>
            </w:r>
            <w:r>
              <w:rPr>
                <w:rFonts w:hint="eastAsia" w:ascii="仿宋_GB2312" w:hAnsi="仿宋_GB2312" w:eastAsia="仿宋_GB2312" w:cs="仿宋_GB2312"/>
                <w:color w:val="auto"/>
                <w:sz w:val="24"/>
                <w:szCs w:val="24"/>
                <w:lang w:eastAsia="zh-CN"/>
              </w:rPr>
              <w:t>精品课</w:t>
            </w:r>
            <w:r>
              <w:rPr>
                <w:rFonts w:hint="eastAsia" w:ascii="仿宋_GB2312" w:hAnsi="仿宋_GB2312" w:eastAsia="仿宋_GB2312" w:cs="仿宋_GB2312"/>
                <w:color w:val="auto"/>
                <w:sz w:val="24"/>
                <w:szCs w:val="24"/>
                <w:lang w:eastAsia="en-US"/>
              </w:rPr>
              <w:t>、</w:t>
            </w:r>
            <w:r>
              <w:rPr>
                <w:rFonts w:hint="eastAsia" w:ascii="仿宋_GB2312" w:hAnsi="仿宋_GB2312" w:eastAsia="仿宋_GB2312" w:cs="仿宋_GB2312"/>
                <w:color w:val="auto"/>
                <w:sz w:val="24"/>
                <w:szCs w:val="24"/>
                <w:lang w:eastAsia="zh-CN"/>
              </w:rPr>
              <w:t>中小学实验教学技能竞赛系列活动、</w:t>
            </w:r>
            <w:r>
              <w:rPr>
                <w:rFonts w:hint="eastAsia" w:ascii="仿宋_GB2312" w:hAnsi="仿宋_GB2312" w:eastAsia="仿宋_GB2312" w:cs="仿宋_GB2312"/>
                <w:color w:val="auto"/>
                <w:sz w:val="24"/>
                <w:szCs w:val="24"/>
                <w:lang w:eastAsia="en-US"/>
              </w:rPr>
              <w:t>微</w:t>
            </w:r>
            <w:r>
              <w:rPr>
                <w:rFonts w:hint="eastAsia" w:ascii="仿宋_GB2312" w:hAnsi="仿宋_GB2312" w:eastAsia="仿宋_GB2312" w:cs="仿宋_GB2312"/>
                <w:color w:val="auto"/>
                <w:sz w:val="24"/>
                <w:szCs w:val="24"/>
                <w:shd w:val="clear" w:color="auto" w:fill="auto"/>
                <w:lang w:eastAsia="en-US"/>
              </w:rPr>
              <w:t>课</w:t>
            </w:r>
            <w:r>
              <w:rPr>
                <w:rFonts w:hint="eastAsia" w:ascii="仿宋_GB2312" w:hAnsi="仿宋_GB2312" w:eastAsia="仿宋_GB2312" w:cs="仿宋_GB2312"/>
                <w:color w:val="auto"/>
                <w:sz w:val="24"/>
                <w:szCs w:val="24"/>
                <w:lang w:eastAsia="en-US"/>
              </w:rPr>
              <w:t>制作、</w:t>
            </w:r>
            <w:r>
              <w:rPr>
                <w:rFonts w:hint="eastAsia" w:ascii="仿宋_GB2312" w:hAnsi="仿宋_GB2312" w:eastAsia="仿宋_GB2312" w:cs="仿宋_GB2312"/>
                <w:color w:val="auto"/>
                <w:sz w:val="24"/>
                <w:szCs w:val="24"/>
                <w:lang w:eastAsia="zh-CN"/>
              </w:rPr>
              <w:t>科技劳动教育实践活动</w:t>
            </w:r>
            <w:r>
              <w:rPr>
                <w:rFonts w:hint="eastAsia" w:ascii="仿宋_GB2312" w:hAnsi="仿宋_GB2312" w:eastAsia="仿宋_GB2312" w:cs="仿宋_GB2312"/>
                <w:color w:val="auto"/>
                <w:sz w:val="24"/>
                <w:szCs w:val="24"/>
                <w:lang w:eastAsia="en-US"/>
              </w:rPr>
              <w:t>等评优活动。</w:t>
            </w:r>
          </w:p>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color w:val="auto"/>
                <w:sz w:val="24"/>
                <w:szCs w:val="24"/>
                <w:lang w:eastAsia="en-US"/>
              </w:rPr>
              <w:t>推进人工智能时代学校创新发展，到2023年，建成10个信息化中心学校（智慧校园）示范校。建设一批智慧课堂，丰富优质</w:t>
            </w:r>
            <w:r>
              <w:rPr>
                <w:rFonts w:hint="eastAsia" w:ascii="仿宋_GB2312" w:hAnsi="仿宋_GB2312" w:eastAsia="仿宋_GB2312" w:cs="仿宋_GB2312"/>
                <w:color w:val="auto"/>
                <w:sz w:val="24"/>
                <w:szCs w:val="24"/>
                <w:shd w:val="clear" w:color="auto" w:fill="auto"/>
                <w:lang w:eastAsia="en-US"/>
              </w:rPr>
              <w:t>慕课</w:t>
            </w:r>
            <w:r>
              <w:rPr>
                <w:rFonts w:hint="eastAsia" w:ascii="仿宋_GB2312" w:hAnsi="仿宋_GB2312" w:eastAsia="仿宋_GB2312" w:cs="仿宋_GB2312"/>
                <w:color w:val="auto"/>
                <w:sz w:val="24"/>
                <w:szCs w:val="24"/>
                <w:lang w:eastAsia="en-US"/>
              </w:rPr>
              <w:t>资源。</w:t>
            </w:r>
            <w:r>
              <w:rPr>
                <w:rFonts w:hint="eastAsia" w:ascii="仿宋_GB2312" w:hAnsi="仿宋_GB2312" w:eastAsia="仿宋_GB2312" w:cs="仿宋_GB2312"/>
                <w:color w:val="auto"/>
                <w:sz w:val="24"/>
                <w:szCs w:val="24"/>
                <w:lang w:eastAsia="zh-CN"/>
              </w:rPr>
              <w:t>构建</w:t>
            </w:r>
            <w:r>
              <w:rPr>
                <w:rFonts w:hint="eastAsia" w:ascii="仿宋_GB2312" w:hAnsi="仿宋_GB2312" w:eastAsia="仿宋_GB2312" w:cs="仿宋_GB2312"/>
                <w:color w:val="auto"/>
                <w:sz w:val="24"/>
                <w:szCs w:val="24"/>
                <w:lang w:val="en-US" w:eastAsia="zh-CN"/>
              </w:rPr>
              <w:t>80所以上乡镇初中参与的“名师课堂”应用共同体，打造30所“名师课堂”应用示范学校</w:t>
            </w:r>
            <w:r>
              <w:rPr>
                <w:rFonts w:hint="eastAsia" w:ascii="仿宋_GB2312" w:hAnsi="仿宋_GB2312" w:eastAsia="仿宋_GB2312" w:cs="仿宋_GB2312"/>
                <w:color w:val="auto"/>
                <w:sz w:val="24"/>
                <w:szCs w:val="24"/>
                <w:lang w:eastAsia="en-US"/>
              </w:rPr>
              <w:t>。</w:t>
            </w:r>
          </w:p>
          <w:p>
            <w:pPr>
              <w:spacing w:line="400" w:lineRule="exact"/>
              <w:ind w:firstLine="480" w:firstLineChars="200"/>
              <w:rPr>
                <w:rFonts w:hint="eastAsia" w:ascii="仿宋_GB2312" w:hAnsi="仿宋_GB2312" w:eastAsia="仿宋_GB2312" w:cs="仿宋_GB2312"/>
                <w:color w:val="auto"/>
                <w:sz w:val="32"/>
                <w:szCs w:val="32"/>
                <w:lang w:eastAsia="en-US"/>
              </w:rPr>
            </w:pPr>
            <w:r>
              <w:rPr>
                <w:rFonts w:hint="eastAsia" w:ascii="仿宋_GB2312" w:hAnsi="仿宋_GB2312" w:eastAsia="仿宋_GB2312" w:cs="仿宋_GB2312"/>
                <w:color w:val="auto"/>
                <w:sz w:val="24"/>
                <w:szCs w:val="24"/>
                <w:lang w:eastAsia="en-US"/>
              </w:rPr>
              <w:t>开展“5G+智慧教育”，研究基于5G+VR（虚拟现实）/MR（混合现实）的不同智能终端在5G智慧校园环境下的接入与布局，实现远程直播。</w:t>
            </w:r>
          </w:p>
        </w:tc>
      </w:tr>
    </w:tbl>
    <w:p>
      <w:pPr>
        <w:pStyle w:val="3"/>
        <w:keepNext/>
        <w:keepLines/>
        <w:pageBreakBefore w:val="0"/>
        <w:widowControl w:val="0"/>
        <w:kinsoku/>
        <w:wordWrap/>
        <w:overflowPunct/>
        <w:topLinePunct w:val="0"/>
        <w:autoSpaceDE/>
        <w:autoSpaceDN/>
        <w:bidi w:val="0"/>
        <w:adjustRightInd/>
        <w:snapToGrid/>
        <w:spacing w:before="156" w:beforeLines="50" w:after="156" w:afterLines="50" w:line="540" w:lineRule="exact"/>
        <w:jc w:val="center"/>
        <w:textAlignment w:val="auto"/>
        <w:rPr>
          <w:rFonts w:ascii="方正小标宋简体" w:hAnsi="方正小标宋简体" w:eastAsia="方正小标宋简体" w:cs="方正小标宋简体"/>
          <w:b w:val="0"/>
          <w:bCs w:val="0"/>
          <w:color w:val="auto"/>
          <w:kern w:val="0"/>
          <w:sz w:val="36"/>
          <w:szCs w:val="36"/>
        </w:rPr>
      </w:pPr>
      <w:bookmarkStart w:id="49" w:name="_Toc1137724732_WPSOffice_Level1"/>
      <w:bookmarkStart w:id="50" w:name="_Toc98694804"/>
      <w:bookmarkStart w:id="51" w:name="_Toc475508000_WPSOffice_Level2"/>
      <w:r>
        <w:rPr>
          <w:rFonts w:hint="eastAsia" w:ascii="方正小标宋简体" w:hAnsi="方正小标宋简体" w:eastAsia="方正小标宋简体" w:cs="方正小标宋简体"/>
          <w:b w:val="0"/>
          <w:color w:val="auto"/>
          <w:kern w:val="0"/>
          <w:sz w:val="36"/>
          <w:szCs w:val="36"/>
        </w:rPr>
        <w:br w:type="page"/>
      </w:r>
      <w:r>
        <w:rPr>
          <w:rFonts w:hint="eastAsia" w:ascii="方正小标宋简体" w:hAnsi="方正小标宋简体" w:eastAsia="方正小标宋简体" w:cs="方正小标宋简体"/>
          <w:b w:val="0"/>
          <w:color w:val="auto"/>
          <w:kern w:val="0"/>
          <w:sz w:val="36"/>
          <w:szCs w:val="36"/>
        </w:rPr>
        <w:t>第四章 推动五大提升，夯实教育高质量发展基础</w:t>
      </w:r>
      <w:bookmarkEnd w:id="49"/>
      <w:bookmarkEnd w:id="50"/>
    </w:p>
    <w:p>
      <w:pPr>
        <w:pStyle w:val="4"/>
        <w:pageBreakBefore w:val="0"/>
        <w:kinsoku/>
        <w:wordWrap/>
        <w:overflowPunct/>
        <w:topLinePunct w:val="0"/>
        <w:autoSpaceDE/>
        <w:autoSpaceDN/>
        <w:bidi w:val="0"/>
        <w:adjustRightInd/>
        <w:snapToGrid/>
        <w:spacing w:before="156" w:beforeLines="50" w:after="156" w:afterLines="50" w:line="540" w:lineRule="exact"/>
        <w:jc w:val="center"/>
        <w:textAlignment w:val="auto"/>
        <w:rPr>
          <w:rFonts w:ascii="黑体" w:hAnsi="黑体" w:eastAsia="黑体" w:cs="黑体"/>
          <w:b w:val="0"/>
          <w:bCs w:val="0"/>
          <w:color w:val="auto"/>
          <w:kern w:val="0"/>
        </w:rPr>
      </w:pPr>
      <w:bookmarkStart w:id="52" w:name="_Toc98694805"/>
      <w:bookmarkStart w:id="53" w:name="_Toc436618750_WPSOffice_Level2"/>
      <w:r>
        <w:rPr>
          <w:rFonts w:hint="eastAsia" w:ascii="黑体" w:hAnsi="黑体" w:eastAsia="黑体" w:cs="黑体"/>
          <w:b w:val="0"/>
          <w:bCs w:val="0"/>
          <w:color w:val="auto"/>
          <w:kern w:val="0"/>
        </w:rPr>
        <w:t>第一节 提升学生综合素质</w:t>
      </w:r>
      <w:bookmarkEnd w:id="51"/>
      <w:bookmarkEnd w:id="52"/>
      <w:bookmarkEnd w:id="53"/>
    </w:p>
    <w:p>
      <w:pPr>
        <w:keepNext w:val="0"/>
        <w:keepLines w:val="0"/>
        <w:pageBreakBefore w:val="0"/>
        <w:tabs>
          <w:tab w:val="left" w:pos="3150"/>
        </w:tabs>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注重学生全面发展，</w:t>
      </w:r>
      <w:r>
        <w:rPr>
          <w:rFonts w:hint="eastAsia" w:ascii="仿宋_GB2312" w:hAnsi="仿宋_GB2312" w:eastAsia="仿宋_GB2312" w:cs="仿宋_GB2312"/>
          <w:color w:val="auto"/>
          <w:sz w:val="32"/>
          <w:szCs w:val="32"/>
          <w:lang w:eastAsia="zh-CN"/>
        </w:rPr>
        <w:t>坚持</w:t>
      </w:r>
      <w:r>
        <w:rPr>
          <w:rFonts w:hint="eastAsia" w:ascii="仿宋_GB2312" w:hAnsi="仿宋_GB2312" w:eastAsia="仿宋_GB2312" w:cs="仿宋_GB2312"/>
          <w:color w:val="auto"/>
          <w:sz w:val="32"/>
          <w:szCs w:val="32"/>
        </w:rPr>
        <w:t>德智体美劳“五育”并举，大力发展素质教育，为学生终身发展奠基，让学生成为生活和学习的主人。</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强化学生创新精神和创新能力培养。</w:t>
      </w:r>
      <w:r>
        <w:rPr>
          <w:rFonts w:hint="eastAsia" w:ascii="仿宋_GB2312" w:hAnsi="仿宋_GB2312" w:eastAsia="仿宋_GB2312" w:cs="仿宋_GB2312"/>
          <w:color w:val="auto"/>
          <w:sz w:val="32"/>
          <w:szCs w:val="32"/>
        </w:rPr>
        <w:t>深化课程、教材、教学改革，加快建立以学生发展为本的新型教学关系，优化教师教育教学方式，教育引导学生培养创新思维。在中小学普遍推行自主、合作、探究学习和启发、讨论、体验式教学，探索基于学科的课程综合化教学，重视差异化教学和个别化指导。推行普通高中选课走班制等新型教学组织方式。推动职业教育、高校创新创业教育与专业课教学融合，加强创新创业实践平台建设，提升学生敢闯会创的素质能力，持续发挥创新创业教育示范学校引领作用。</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加强和改进学校体育工作。</w:t>
      </w:r>
      <w:r>
        <w:rPr>
          <w:rFonts w:hint="eastAsia" w:ascii="仿宋_GB2312" w:hAnsi="仿宋_GB2312" w:eastAsia="仿宋_GB2312" w:cs="仿宋_GB2312"/>
          <w:color w:val="auto"/>
          <w:sz w:val="32"/>
          <w:szCs w:val="32"/>
        </w:rPr>
        <w:t>树立健康第一的教育理念，按照“教会、勤练、常</w:t>
      </w:r>
      <w:r>
        <w:rPr>
          <w:rFonts w:hint="eastAsia" w:ascii="仿宋_GB2312" w:hAnsi="仿宋_GB2312" w:eastAsia="仿宋_GB2312" w:cs="仿宋_GB2312"/>
          <w:color w:val="auto"/>
          <w:sz w:val="32"/>
          <w:szCs w:val="32"/>
          <w:shd w:val="clear" w:color="auto" w:fill="auto"/>
        </w:rPr>
        <w:t>赛</w:t>
      </w:r>
      <w:r>
        <w:rPr>
          <w:rFonts w:hint="eastAsia" w:ascii="仿宋_GB2312" w:hAnsi="仿宋_GB2312" w:eastAsia="仿宋_GB2312" w:cs="仿宋_GB2312"/>
          <w:color w:val="auto"/>
          <w:sz w:val="32"/>
          <w:szCs w:val="32"/>
        </w:rPr>
        <w:t>”要求，引导学生热爱体育运动。实施体育师资配备、场地设施建设行动计划。落实学校体育教练员专业岗位设置，纳入体育教练员职称</w:t>
      </w:r>
      <w:r>
        <w:rPr>
          <w:rFonts w:hint="eastAsia" w:ascii="仿宋_GB2312" w:hAnsi="仿宋_GB2312" w:eastAsia="仿宋_GB2312" w:cs="仿宋_GB2312"/>
          <w:color w:val="auto"/>
          <w:sz w:val="32"/>
          <w:szCs w:val="32"/>
          <w:lang w:eastAsia="zh-CN"/>
        </w:rPr>
        <w:t>评定</w:t>
      </w:r>
      <w:r>
        <w:rPr>
          <w:rFonts w:hint="eastAsia" w:ascii="仿宋_GB2312" w:hAnsi="仿宋_GB2312" w:eastAsia="仿宋_GB2312" w:cs="仿宋_GB2312"/>
          <w:color w:val="auto"/>
          <w:sz w:val="32"/>
          <w:szCs w:val="32"/>
        </w:rPr>
        <w:t>体系，建立优秀退役运动员支持学校体育工作长效机制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畅通优秀退役运动员、教练员进入学校担任专兼职教练员的渠道。体育教师、教练员组织课余活动和课余训练等纳入课时和工作量计算，给予相应补贴。开齐开足体育课程，保证中小学生每天1小时校园体育活动，培养学生掌握</w:t>
      </w:r>
      <w:r>
        <w:rPr>
          <w:rFonts w:hint="eastAsia" w:ascii="仿宋_GB2312" w:hAnsi="仿宋_GB2312" w:eastAsia="仿宋_GB2312" w:cs="仿宋_GB2312"/>
          <w:color w:val="auto"/>
          <w:sz w:val="32"/>
          <w:szCs w:val="32"/>
          <w:shd w:val="clear" w:color="auto" w:fill="auto"/>
        </w:rPr>
        <w:t>1</w:t>
      </w:r>
      <w:r>
        <w:rPr>
          <w:rFonts w:hint="eastAsia" w:hAnsi="仿宋_GB2312" w:cs="仿宋_GB2312"/>
          <w:color w:val="auto"/>
          <w:sz w:val="32"/>
          <w:szCs w:val="32"/>
          <w:shd w:val="clear" w:color="auto" w:fill="auto"/>
          <w:lang w:val="en-US" w:eastAsia="zh-CN"/>
        </w:rPr>
        <w:t>-</w:t>
      </w:r>
      <w:r>
        <w:rPr>
          <w:rFonts w:hint="eastAsia" w:ascii="仿宋_GB2312" w:hAnsi="仿宋_GB2312" w:eastAsia="仿宋_GB2312" w:cs="仿宋_GB2312"/>
          <w:color w:val="auto"/>
          <w:sz w:val="32"/>
          <w:szCs w:val="32"/>
          <w:shd w:val="clear" w:color="auto" w:fill="auto"/>
        </w:rPr>
        <w:t>2</w:t>
      </w:r>
      <w:r>
        <w:rPr>
          <w:rFonts w:hint="eastAsia" w:ascii="仿宋_GB2312" w:hAnsi="仿宋_GB2312" w:eastAsia="仿宋_GB2312" w:cs="仿宋_GB2312"/>
          <w:color w:val="auto"/>
          <w:sz w:val="32"/>
          <w:szCs w:val="32"/>
        </w:rPr>
        <w:t>项体育运动技能。完善学校体育学科、学生体质健康状况考核评价体系，加大学生体质健康监测和信息化管理工作力度。到2025年，按照《国家学生体质健康标准》，学生体质健康优良率达到55%以上。注重</w:t>
      </w:r>
      <w:r>
        <w:rPr>
          <w:rFonts w:hint="eastAsia" w:ascii="仿宋_GB2312" w:hAnsi="仿宋_GB2312" w:eastAsia="仿宋_GB2312" w:cs="仿宋_GB2312"/>
          <w:color w:val="auto"/>
          <w:sz w:val="32"/>
          <w:szCs w:val="32"/>
          <w:shd w:val="clear" w:color="auto" w:fill="auto"/>
        </w:rPr>
        <w:t>教</w:t>
      </w:r>
      <w:r>
        <w:rPr>
          <w:rFonts w:hint="eastAsia" w:ascii="仿宋_GB2312" w:hAnsi="仿宋_GB2312" w:eastAsia="仿宋_GB2312" w:cs="仿宋_GB2312"/>
          <w:color w:val="auto"/>
          <w:sz w:val="32"/>
          <w:szCs w:val="32"/>
        </w:rPr>
        <w:t>体融合和学校体育文化建设，形成“班班有项目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校校有特色、县县有品牌”学校体育工作新格局。持续加大校园足球普及和水平提升力度。加强体育传统特色学校建设。</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加强卫生健康教育。</w:t>
      </w:r>
      <w:r>
        <w:rPr>
          <w:rFonts w:hint="eastAsia" w:ascii="仿宋_GB2312" w:hAnsi="仿宋_GB2312" w:eastAsia="仿宋_GB2312" w:cs="仿宋_GB2312"/>
          <w:color w:val="auto"/>
          <w:sz w:val="32"/>
          <w:szCs w:val="32"/>
        </w:rPr>
        <w:t>建立卫生健康教育教学指导工作协调机制，完善大中小幼相衔接的学校卫生健康教育机制，教育学生</w:t>
      </w:r>
      <w:r>
        <w:rPr>
          <w:rFonts w:hint="eastAsia" w:ascii="仿宋_GB2312" w:hAnsi="仿宋_GB2312" w:eastAsia="仿宋_GB2312" w:cs="仿宋_GB2312"/>
          <w:color w:val="auto"/>
          <w:sz w:val="32"/>
          <w:szCs w:val="32"/>
          <w:shd w:val="clear" w:color="auto" w:fill="auto"/>
        </w:rPr>
        <w:t>树牢</w:t>
      </w:r>
      <w:r>
        <w:rPr>
          <w:rFonts w:hint="eastAsia" w:ascii="仿宋_GB2312" w:hAnsi="仿宋_GB2312" w:eastAsia="仿宋_GB2312" w:cs="仿宋_GB2312"/>
          <w:color w:val="auto"/>
          <w:sz w:val="32"/>
          <w:szCs w:val="32"/>
        </w:rPr>
        <w:t>“每个人是自己健康第一责任人”理念。落实各学段健康教育教学时间，中小学校每学期应在体育与健康课程总课时中安排4个健康教育课时。实施青少年急救教育行动计划，加强学校急救设施建设和师生急救教育培训。深入开展校园爱国卫生运动，打造健康学习生活环境，倡导文明健康的生活方式。推动落实学校与医疗机构、疾控中心建立卫生应急协作机制和学校专职卫生人员职称评审、岗位津贴等评价激励措施；配齐建强专职卫生人员队伍和医疗卫生院（所、室），从严管控危险品存储，抓实食品安全监管，严格防控学校传染病疫情和突发公共卫生事件。强化心理健康教育，配齐配强</w:t>
      </w:r>
      <w:r>
        <w:rPr>
          <w:rFonts w:hint="eastAsia" w:ascii="仿宋_GB2312" w:hAnsi="仿宋_GB2312" w:eastAsia="仿宋_GB2312" w:cs="仿宋_GB2312"/>
          <w:color w:val="auto"/>
          <w:sz w:val="32"/>
          <w:szCs w:val="32"/>
          <w:lang w:eastAsia="zh-CN"/>
        </w:rPr>
        <w:t>专职</w:t>
      </w:r>
      <w:r>
        <w:rPr>
          <w:rFonts w:hint="eastAsia" w:ascii="仿宋_GB2312" w:hAnsi="仿宋_GB2312" w:eastAsia="仿宋_GB2312" w:cs="仿宋_GB2312"/>
          <w:color w:val="auto"/>
          <w:sz w:val="32"/>
          <w:szCs w:val="32"/>
        </w:rPr>
        <w:t>心理教师，</w:t>
      </w:r>
      <w:r>
        <w:rPr>
          <w:rFonts w:hint="eastAsia" w:ascii="仿宋_GB2312" w:hAnsi="仿宋_GB2312" w:eastAsia="仿宋_GB2312" w:cs="仿宋_GB2312"/>
          <w:color w:val="auto"/>
          <w:sz w:val="32"/>
          <w:szCs w:val="32"/>
          <w:lang w:eastAsia="zh-CN"/>
        </w:rPr>
        <w:t>培养壮大兼职心理教师队伍，</w:t>
      </w:r>
      <w:r>
        <w:rPr>
          <w:rFonts w:hint="eastAsia" w:ascii="仿宋_GB2312" w:hAnsi="仿宋_GB2312" w:eastAsia="仿宋_GB2312" w:cs="仿宋_GB2312"/>
          <w:color w:val="auto"/>
          <w:sz w:val="32"/>
          <w:szCs w:val="32"/>
        </w:rPr>
        <w:t>培育学生积极心理品质，引导学生掌握正确应对学业、人际关系等方面不良情绪和心理压力的技能，加强重大疫情、重大灾害等特殊时期心理危机干预。</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加强和改进学校美育工作。</w:t>
      </w:r>
      <w:r>
        <w:rPr>
          <w:rFonts w:hint="eastAsia" w:ascii="仿宋_GB2312" w:hAnsi="仿宋_GB2312" w:eastAsia="仿宋_GB2312" w:cs="仿宋_GB2312"/>
          <w:color w:val="auto"/>
          <w:sz w:val="32"/>
          <w:szCs w:val="32"/>
        </w:rPr>
        <w:t>加强美育评价体系建设</w:t>
      </w:r>
      <w:r>
        <w:rPr>
          <w:rFonts w:hint="eastAsia" w:ascii="仿宋_GB2312" w:hAnsi="仿宋_GB2312" w:eastAsia="仿宋_GB2312" w:cs="仿宋_GB2312"/>
          <w:color w:val="auto"/>
          <w:sz w:val="32"/>
          <w:szCs w:val="32"/>
          <w:shd w:val="clear" w:color="auto" w:fill="auto"/>
        </w:rPr>
        <w:t>。</w:t>
      </w:r>
      <w:r>
        <w:rPr>
          <w:rFonts w:hint="eastAsia" w:ascii="仿宋_GB2312" w:hAnsi="仿宋_GB2312" w:eastAsia="仿宋_GB2312" w:cs="仿宋_GB2312"/>
          <w:color w:val="auto"/>
          <w:sz w:val="32"/>
          <w:szCs w:val="32"/>
        </w:rPr>
        <w:t>实施美育师资配备、场地设施建设行动计划，加快推进中小幼美育设施标准化和高校艺术场馆建设，推动校内外美育资源共建共享。完善课程设置，学前教育阶段开展适合幼儿身心特点</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艺术游戏活动，义务教育阶段丰富艺术课程内容，在开好音乐、美术、书法课程的基础上，逐步开设舞蹈、戏剧、影视等艺术课程，培养学生健康向上</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审美趣味、审美格调，帮助学生掌握1</w:t>
      </w:r>
      <w:r>
        <w:rPr>
          <w:rFonts w:hint="eastAsia" w:hAnsi="仿宋_GB2312" w:cs="仿宋_GB2312"/>
          <w:color w:val="auto"/>
          <w:sz w:val="32"/>
          <w:szCs w:val="32"/>
          <w:lang w:val="en-US" w:eastAsia="zh-CN"/>
        </w:rPr>
        <w:t>-</w:t>
      </w:r>
      <w:r>
        <w:rPr>
          <w:rFonts w:hint="eastAsia" w:ascii="仿宋_GB2312" w:hAnsi="仿宋_GB2312" w:eastAsia="仿宋_GB2312" w:cs="仿宋_GB2312"/>
          <w:color w:val="auto"/>
          <w:sz w:val="32"/>
          <w:szCs w:val="32"/>
        </w:rPr>
        <w:t>2项艺术特长，提高艺术素养，陶冶高尚情操。以课堂教学为中心，构建课堂教学、课外活动、艺术实践、校园文化“四位一体”美育机制，形成大中小幼相互衔接并与学校、社会、家庭相互联系的美育体系。</w:t>
      </w:r>
    </w:p>
    <w:p>
      <w:pPr>
        <w:keepNext w:val="0"/>
        <w:keepLines w:val="0"/>
        <w:pageBreakBefore w:val="0"/>
        <w:kinsoku/>
        <w:wordWrap/>
        <w:overflowPunct/>
        <w:topLinePunct w:val="0"/>
        <w:autoSpaceDE/>
        <w:autoSpaceDN/>
        <w:bidi w:val="0"/>
        <w:adjustRightInd/>
        <w:snapToGrid/>
        <w:spacing w:after="156" w:afterLines="5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加强劳动教育。</w:t>
      </w:r>
      <w:r>
        <w:rPr>
          <w:rFonts w:hint="eastAsia" w:ascii="仿宋_GB2312" w:hAnsi="仿宋_GB2312" w:eastAsia="仿宋_GB2312" w:cs="仿宋_GB2312"/>
          <w:color w:val="auto"/>
          <w:sz w:val="32"/>
          <w:szCs w:val="32"/>
        </w:rPr>
        <w:t>将劳动观念和劳动精神贯穿人才培养全过程，建立课程完善、资源丰富、形式多样、机制健全的劳动教育体系。建立各级政府统筹规划配置的中小学劳动教育资源建设机制，建设专兼结合的劳动教育教师队伍，加强劳动教育基地建设，积极开发校外劳动实践教育场地。建立学校为主导、家庭为基础、社区为依托的劳动教育协同实施机制，健全劳动教育安全保障体系。将劳动素养纳入学生综合素质评价体系，在大中小学设立劳动教育课程和劳动周，中小学劳动教育课平均每周不少于1课时。将劳动教育与学生的个人生活、校园生活和社会生活有机结合起来，丰富劳动体验，提高劳动能力，深化对劳动价值的理解。</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jc w:val="center"/>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8"/>
                <w:szCs w:val="28"/>
                <w:lang w:eastAsia="en-US"/>
              </w:rPr>
              <w:t>专栏</w:t>
            </w:r>
            <w:r>
              <w:rPr>
                <w:rFonts w:hint="eastAsia" w:ascii="仿宋_GB2312" w:hAnsi="仿宋_GB2312" w:eastAsia="仿宋_GB2312" w:cs="仿宋_GB2312"/>
                <w:b/>
                <w:bCs/>
                <w:color w:val="auto"/>
                <w:sz w:val="28"/>
                <w:szCs w:val="28"/>
                <w:lang w:val="en-US" w:eastAsia="zh-CN"/>
              </w:rPr>
              <w:t>6</w:t>
            </w:r>
            <w:r>
              <w:rPr>
                <w:rFonts w:hint="eastAsia" w:ascii="仿宋_GB2312" w:hAnsi="仿宋_GB2312" w:eastAsia="仿宋_GB2312" w:cs="仿宋_GB2312"/>
                <w:b/>
                <w:bCs/>
                <w:color w:val="auto"/>
                <w:sz w:val="28"/>
                <w:szCs w:val="28"/>
                <w:lang w:eastAsia="en-US"/>
              </w:rPr>
              <w:t xml:space="preserve"> 全面提升学生综合素质工程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4"/>
                <w:szCs w:val="24"/>
                <w:lang w:eastAsia="en-US"/>
              </w:rPr>
              <w:t>1.建设一批体育项目特色学校。</w:t>
            </w:r>
            <w:r>
              <w:rPr>
                <w:rFonts w:hint="eastAsia" w:ascii="仿宋_GB2312" w:hAnsi="仿宋_GB2312" w:eastAsia="仿宋_GB2312" w:cs="仿宋_GB2312"/>
                <w:color w:val="auto"/>
                <w:sz w:val="24"/>
                <w:szCs w:val="24"/>
                <w:lang w:eastAsia="en-US"/>
              </w:rPr>
              <w:t>建设全国青少年校园足球、篮球、排球特色学校分别达110、10、6所以上，省级校园篮球、排球、游泳推广学校分别达50、30、8所以上。各级教育、体育部门统筹规划体育传统特色学校的项目布局，以打造体育传统特色学校为抓手，重点发展足球、篮球、排球、田径、游泳以及国家、省、市优势项目、民族传统特色项目等，2026年前，市级开设体育传统特色学校的项目不少于8个，每个区（县级市）不少于3个，项目在小学、初中、高中按6</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lang w:eastAsia="en-US"/>
              </w:rPr>
              <w:t>3</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lang w:eastAsia="en-US"/>
              </w:rPr>
              <w:t>1比例布局。</w:t>
            </w:r>
          </w:p>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4"/>
                <w:szCs w:val="24"/>
                <w:lang w:eastAsia="en-US"/>
              </w:rPr>
              <w:t>2.实施学生健康促进计划。</w:t>
            </w:r>
            <w:r>
              <w:rPr>
                <w:rFonts w:hint="eastAsia" w:ascii="仿宋_GB2312" w:hAnsi="仿宋_GB2312" w:eastAsia="仿宋_GB2312" w:cs="仿宋_GB2312"/>
                <w:color w:val="auto"/>
                <w:sz w:val="24"/>
                <w:szCs w:val="24"/>
                <w:lang w:eastAsia="en-US"/>
              </w:rPr>
              <w:t>落实儿童青少年近视综合防控、营养改善、心理健康专项行动，每年创建2所以上市级近视防控示范</w:t>
            </w:r>
            <w:r>
              <w:rPr>
                <w:rFonts w:hint="eastAsia" w:ascii="仿宋_GB2312" w:hAnsi="仿宋_GB2312" w:eastAsia="仿宋_GB2312" w:cs="仿宋_GB2312"/>
                <w:color w:val="auto"/>
                <w:sz w:val="24"/>
                <w:szCs w:val="24"/>
                <w:lang w:eastAsia="zh-CN"/>
              </w:rPr>
              <w:t>学</w:t>
            </w:r>
            <w:r>
              <w:rPr>
                <w:rFonts w:hint="eastAsia" w:ascii="仿宋_GB2312" w:hAnsi="仿宋_GB2312" w:eastAsia="仿宋_GB2312" w:cs="仿宋_GB2312"/>
                <w:color w:val="auto"/>
                <w:sz w:val="24"/>
                <w:szCs w:val="24"/>
                <w:lang w:eastAsia="en-US"/>
              </w:rPr>
              <w:t>校，每年每</w:t>
            </w:r>
            <w:r>
              <w:rPr>
                <w:rFonts w:hint="eastAsia" w:ascii="仿宋_GB2312" w:hAnsi="仿宋_GB2312" w:eastAsia="仿宋_GB2312" w:cs="仿宋_GB2312"/>
                <w:color w:val="auto"/>
                <w:sz w:val="24"/>
                <w:szCs w:val="24"/>
                <w:lang w:eastAsia="zh-CN"/>
              </w:rPr>
              <w:t>区、县级市</w:t>
            </w:r>
            <w:r>
              <w:rPr>
                <w:rFonts w:hint="eastAsia" w:ascii="仿宋_GB2312" w:hAnsi="仿宋_GB2312" w:eastAsia="仿宋_GB2312" w:cs="仿宋_GB2312"/>
                <w:color w:val="auto"/>
                <w:sz w:val="24"/>
                <w:szCs w:val="24"/>
                <w:lang w:eastAsia="en-US"/>
              </w:rPr>
              <w:t>创建10所健康学校。</w:t>
            </w:r>
          </w:p>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4"/>
                <w:szCs w:val="24"/>
                <w:lang w:eastAsia="en-US"/>
              </w:rPr>
              <w:t>3.全面加强劳动教育。</w:t>
            </w:r>
            <w:r>
              <w:rPr>
                <w:rFonts w:hint="eastAsia" w:ascii="仿宋_GB2312" w:hAnsi="仿宋_GB2312" w:eastAsia="仿宋_GB2312" w:cs="仿宋_GB2312"/>
                <w:color w:val="auto"/>
                <w:sz w:val="24"/>
                <w:szCs w:val="24"/>
                <w:lang w:eastAsia="en-US"/>
              </w:rPr>
              <w:t>培育建设100所劳动教育特色学校。利用职业院校资源建立5个中小学生劳动教育基地，开展职业启蒙教育。广泛开展“我劳动我快乐”主题活动和“劳动模范、南粤工匠进校园”活动。</w:t>
            </w:r>
          </w:p>
        </w:tc>
      </w:tr>
    </w:tbl>
    <w:p>
      <w:pPr>
        <w:keepNext w:val="0"/>
        <w:keepLines w:val="0"/>
        <w:pageBreakBefore w:val="0"/>
        <w:widowControl w:val="0"/>
        <w:kinsoku/>
        <w:wordWrap/>
        <w:overflowPunct/>
        <w:topLinePunct w:val="0"/>
        <w:autoSpaceDE/>
        <w:autoSpaceDN/>
        <w:bidi w:val="0"/>
        <w:adjustRightInd/>
        <w:snapToGrid/>
        <w:spacing w:before="156" w:beforeLines="5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加强青少年法治教育。</w:t>
      </w:r>
      <w:r>
        <w:rPr>
          <w:rFonts w:hint="eastAsia" w:ascii="仿宋_GB2312" w:hAnsi="仿宋_GB2312" w:eastAsia="仿宋_GB2312" w:cs="仿宋_GB2312"/>
          <w:color w:val="auto"/>
          <w:sz w:val="32"/>
          <w:szCs w:val="32"/>
        </w:rPr>
        <w:t>把习近平法治思想融入学校教育，做好进教材、进课堂、进头脑工作。加强《中华人民共和国宪法》《中华人民共和国民法典》</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w:t>
      </w:r>
      <w:r>
        <w:rPr>
          <w:rFonts w:hint="eastAsia" w:ascii="仿宋_GB2312" w:hAnsi="仿宋_GB2312" w:eastAsia="仿宋_GB2312" w:cs="仿宋_GB2312"/>
          <w:color w:val="auto"/>
          <w:sz w:val="32"/>
          <w:szCs w:val="32"/>
          <w:lang w:eastAsia="zh-CN"/>
        </w:rPr>
        <w:t>刑法》</w:t>
      </w:r>
      <w:r>
        <w:rPr>
          <w:rFonts w:hint="eastAsia" w:ascii="仿宋_GB2312" w:hAnsi="仿宋_GB2312" w:eastAsia="仿宋_GB2312" w:cs="仿宋_GB2312"/>
          <w:color w:val="auto"/>
          <w:sz w:val="32"/>
          <w:szCs w:val="32"/>
        </w:rPr>
        <w:t>《中华人民共和国未成年人保护法》和教育法律法规学习，全面落实《青少年法治教育大纲》，增强青少年的法治意识和法治素养。健全青少年参与法治实践机制，推进青少年法治教育规范化和常态化，努力推动学生每年接受法治实践教育不少于2课时。完善青少年法治教育实践基地建设。加强</w:t>
      </w:r>
      <w:r>
        <w:rPr>
          <w:rFonts w:hint="eastAsia" w:ascii="仿宋_GB2312" w:hAnsi="仿宋_GB2312" w:eastAsia="仿宋_GB2312" w:cs="仿宋_GB2312"/>
          <w:color w:val="auto"/>
          <w:sz w:val="32"/>
          <w:szCs w:val="32"/>
          <w:lang w:eastAsia="zh-CN"/>
        </w:rPr>
        <w:t>青少年</w:t>
      </w:r>
      <w:r>
        <w:rPr>
          <w:rFonts w:hint="eastAsia" w:ascii="仿宋_GB2312" w:hAnsi="仿宋_GB2312" w:eastAsia="仿宋_GB2312" w:cs="仿宋_GB2312"/>
          <w:color w:val="auto"/>
          <w:sz w:val="32"/>
          <w:szCs w:val="32"/>
        </w:rPr>
        <w:t>防范</w:t>
      </w:r>
      <w:r>
        <w:rPr>
          <w:rFonts w:hint="eastAsia" w:ascii="仿宋_GB2312" w:hAnsi="仿宋_GB2312" w:eastAsia="仿宋_GB2312" w:cs="仿宋_GB2312"/>
          <w:color w:val="auto"/>
          <w:sz w:val="32"/>
          <w:szCs w:val="32"/>
          <w:lang w:eastAsia="zh-CN"/>
        </w:rPr>
        <w:t>学生</w:t>
      </w:r>
      <w:r>
        <w:rPr>
          <w:rFonts w:hint="eastAsia" w:ascii="仿宋_GB2312" w:hAnsi="仿宋_GB2312" w:eastAsia="仿宋_GB2312" w:cs="仿宋_GB2312"/>
          <w:color w:val="auto"/>
          <w:sz w:val="32"/>
          <w:szCs w:val="32"/>
        </w:rPr>
        <w:t>欺凌、防范性侵害、反网络电信诈骗及禁毒防艾等</w:t>
      </w:r>
      <w:r>
        <w:rPr>
          <w:rFonts w:hint="eastAsia" w:ascii="仿宋_GB2312" w:hAnsi="仿宋_GB2312" w:eastAsia="仿宋_GB2312" w:cs="仿宋_GB2312"/>
          <w:color w:val="auto"/>
          <w:sz w:val="32"/>
          <w:szCs w:val="32"/>
          <w:lang w:eastAsia="zh-CN"/>
        </w:rPr>
        <w:t>法治</w:t>
      </w:r>
      <w:r>
        <w:rPr>
          <w:rFonts w:hint="eastAsia" w:ascii="仿宋_GB2312" w:hAnsi="仿宋_GB2312" w:eastAsia="仿宋_GB2312" w:cs="仿宋_GB2312"/>
          <w:color w:val="auto"/>
          <w:sz w:val="32"/>
          <w:szCs w:val="32"/>
        </w:rPr>
        <w:t>宣传教育，提升防范保护意识和</w:t>
      </w:r>
      <w:r>
        <w:rPr>
          <w:rFonts w:hint="eastAsia" w:ascii="仿宋_GB2312" w:hAnsi="仿宋_GB2312" w:eastAsia="仿宋_GB2312" w:cs="仿宋_GB2312"/>
          <w:color w:val="auto"/>
          <w:sz w:val="32"/>
          <w:szCs w:val="32"/>
          <w:shd w:val="clear" w:color="auto" w:fill="auto"/>
        </w:rPr>
        <w:t>识</w:t>
      </w:r>
      <w:r>
        <w:rPr>
          <w:rFonts w:hint="eastAsia" w:ascii="仿宋_GB2312" w:hAnsi="仿宋_GB2312" w:eastAsia="仿宋_GB2312" w:cs="仿宋_GB2312"/>
          <w:color w:val="auto"/>
          <w:sz w:val="32"/>
          <w:szCs w:val="32"/>
        </w:rPr>
        <w:t>毒防毒拒毒能力。加强校园法治文化建设，创建一批各级各类文明校园，全面提升学校育人环境与育人水平。</w:t>
      </w:r>
    </w:p>
    <w:p>
      <w:pPr>
        <w:keepNext w:val="0"/>
        <w:keepLines w:val="0"/>
        <w:pageBreakBefore w:val="0"/>
        <w:widowControl w:val="0"/>
        <w:kinsoku/>
        <w:wordWrap/>
        <w:overflowPunct/>
        <w:topLinePunct w:val="0"/>
        <w:autoSpaceDE/>
        <w:autoSpaceDN/>
        <w:bidi w:val="0"/>
        <w:adjustRightInd/>
        <w:snapToGrid/>
        <w:spacing w:after="156" w:afterLines="5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加强国家安全和国防教育。</w:t>
      </w:r>
      <w:r>
        <w:rPr>
          <w:rFonts w:hint="eastAsia" w:ascii="仿宋_GB2312" w:hAnsi="仿宋_GB2312" w:eastAsia="仿宋_GB2312" w:cs="仿宋_GB2312"/>
          <w:color w:val="auto"/>
          <w:sz w:val="32"/>
          <w:szCs w:val="32"/>
        </w:rPr>
        <w:t>将国家安全知识</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技能教育纳入教师继续教育培训内容，改进国家安全教育教学，提升教育实效。加强国防教育，持续开展中小学国防教育示范学校创建活动，加强高中阶段学校和高校学生军事技能训练，推动国防教育特色学校建设。坚持国防教育与大学生征兵工作有机结合，按照“一年两征”改革要求，确保高质量完成大学生征兵任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9060" w:type="dxa"/>
            <w:noWrap w:val="0"/>
            <w:vAlign w:val="top"/>
          </w:tcPr>
          <w:p>
            <w:pPr>
              <w:spacing w:line="400" w:lineRule="exact"/>
              <w:jc w:val="center"/>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8"/>
                <w:szCs w:val="28"/>
                <w:lang w:eastAsia="en-US"/>
              </w:rPr>
              <w:t>专栏</w:t>
            </w:r>
            <w:r>
              <w:rPr>
                <w:rFonts w:hint="eastAsia" w:ascii="仿宋_GB2312" w:hAnsi="仿宋_GB2312" w:eastAsia="仿宋_GB2312" w:cs="仿宋_GB2312"/>
                <w:b/>
                <w:bCs/>
                <w:color w:val="auto"/>
                <w:sz w:val="28"/>
                <w:szCs w:val="28"/>
                <w:lang w:val="en-US" w:eastAsia="zh-CN"/>
              </w:rPr>
              <w:t>7</w:t>
            </w:r>
            <w:r>
              <w:rPr>
                <w:rFonts w:hint="eastAsia" w:ascii="仿宋_GB2312" w:hAnsi="仿宋_GB2312" w:eastAsia="仿宋_GB2312" w:cs="仿宋_GB2312"/>
                <w:b/>
                <w:bCs/>
                <w:color w:val="auto"/>
                <w:sz w:val="28"/>
                <w:szCs w:val="28"/>
                <w:lang w:eastAsia="en-US"/>
              </w:rPr>
              <w:t xml:space="preserve">  各方面教育指标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color w:val="auto"/>
                <w:sz w:val="24"/>
                <w:szCs w:val="24"/>
                <w:lang w:eastAsia="en-US"/>
              </w:rPr>
              <w:t>1.提倡中小学生到校后先进行20分钟左右的身体活动，保证中小学生每天1小时校园体育活动，培养学生掌握</w:t>
            </w:r>
            <w:r>
              <w:rPr>
                <w:rFonts w:hint="eastAsia" w:ascii="仿宋_GB2312" w:hAnsi="仿宋_GB2312" w:eastAsia="仿宋_GB2312" w:cs="仿宋_GB2312"/>
                <w:color w:val="auto"/>
                <w:sz w:val="24"/>
                <w:szCs w:val="24"/>
                <w:shd w:val="clear" w:color="auto" w:fill="auto"/>
                <w:lang w:eastAsia="en-US"/>
              </w:rPr>
              <w:t>1</w:t>
            </w:r>
            <w:r>
              <w:rPr>
                <w:rFonts w:hint="eastAsia" w:hAnsi="仿宋_GB2312" w:cs="仿宋_GB2312"/>
                <w:color w:val="auto"/>
                <w:sz w:val="24"/>
                <w:szCs w:val="24"/>
                <w:shd w:val="clear" w:color="auto" w:fill="auto"/>
                <w:lang w:val="en-US" w:eastAsia="zh-CN"/>
              </w:rPr>
              <w:t>-</w:t>
            </w:r>
            <w:r>
              <w:rPr>
                <w:rFonts w:hint="eastAsia" w:ascii="仿宋_GB2312" w:hAnsi="仿宋_GB2312" w:eastAsia="仿宋_GB2312" w:cs="仿宋_GB2312"/>
                <w:color w:val="auto"/>
                <w:sz w:val="24"/>
                <w:szCs w:val="24"/>
                <w:shd w:val="clear" w:color="auto" w:fill="auto"/>
                <w:lang w:eastAsia="en-US"/>
              </w:rPr>
              <w:t>2</w:t>
            </w:r>
            <w:r>
              <w:rPr>
                <w:rFonts w:hint="eastAsia" w:ascii="仿宋_GB2312" w:hAnsi="仿宋_GB2312" w:eastAsia="仿宋_GB2312" w:cs="仿宋_GB2312"/>
                <w:color w:val="auto"/>
                <w:sz w:val="24"/>
                <w:szCs w:val="24"/>
                <w:lang w:eastAsia="en-US"/>
              </w:rPr>
              <w:t>项体育运动技能。</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color w:val="auto"/>
                <w:sz w:val="24"/>
                <w:szCs w:val="24"/>
                <w:lang w:eastAsia="en-US"/>
              </w:rPr>
              <w:t>2.落实各学段健康教育教学时间，中小学校每学期应在体育与健康课程总课时中安排4个健康教育课时。</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color w:val="auto"/>
                <w:sz w:val="24"/>
                <w:szCs w:val="24"/>
                <w:lang w:eastAsia="en-US"/>
              </w:rPr>
              <w:t>3.完善课程设置，根据各学段学生身心特点、课程内容开好艺术课程，帮助学生掌握</w:t>
            </w:r>
            <w:r>
              <w:rPr>
                <w:rFonts w:hint="eastAsia" w:ascii="仿宋_GB2312" w:hAnsi="仿宋_GB2312" w:eastAsia="仿宋_GB2312" w:cs="仿宋_GB2312"/>
                <w:color w:val="auto"/>
                <w:sz w:val="24"/>
                <w:szCs w:val="24"/>
                <w:shd w:val="clear" w:color="auto" w:fill="auto"/>
                <w:lang w:eastAsia="en-US"/>
              </w:rPr>
              <w:t>1</w:t>
            </w:r>
            <w:r>
              <w:rPr>
                <w:rFonts w:hint="eastAsia" w:hAnsi="仿宋_GB2312" w:cs="仿宋_GB2312"/>
                <w:color w:val="auto"/>
                <w:sz w:val="24"/>
                <w:szCs w:val="24"/>
                <w:shd w:val="clear" w:color="auto" w:fill="auto"/>
                <w:lang w:val="en-US" w:eastAsia="zh-CN"/>
              </w:rPr>
              <w:t>-</w:t>
            </w:r>
            <w:r>
              <w:rPr>
                <w:rFonts w:hint="eastAsia" w:ascii="仿宋_GB2312" w:hAnsi="仿宋_GB2312" w:eastAsia="仿宋_GB2312" w:cs="仿宋_GB2312"/>
                <w:color w:val="auto"/>
                <w:sz w:val="24"/>
                <w:szCs w:val="24"/>
                <w:shd w:val="clear" w:color="auto" w:fill="auto"/>
                <w:lang w:eastAsia="en-US"/>
              </w:rPr>
              <w:t>2</w:t>
            </w:r>
            <w:r>
              <w:rPr>
                <w:rFonts w:hint="eastAsia" w:ascii="仿宋_GB2312" w:hAnsi="仿宋_GB2312" w:eastAsia="仿宋_GB2312" w:cs="仿宋_GB2312"/>
                <w:color w:val="auto"/>
                <w:sz w:val="24"/>
                <w:szCs w:val="24"/>
                <w:lang w:eastAsia="en-US"/>
              </w:rPr>
              <w:t>项艺术特长。</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color w:val="auto"/>
                <w:sz w:val="24"/>
                <w:szCs w:val="24"/>
                <w:lang w:eastAsia="en-US"/>
              </w:rPr>
              <w:t>4.在大中小学设立劳动教育必修课和劳动周，中小学劳动教育课平均每周不少于1课时。</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sz w:val="21"/>
                <w:szCs w:val="24"/>
                <w:lang w:eastAsia="en-US"/>
              </w:rPr>
            </w:pPr>
            <w:r>
              <w:rPr>
                <w:rFonts w:hint="eastAsia" w:ascii="仿宋_GB2312" w:hAnsi="仿宋_GB2312" w:eastAsia="仿宋_GB2312" w:cs="仿宋_GB2312"/>
                <w:color w:val="auto"/>
                <w:sz w:val="24"/>
                <w:szCs w:val="24"/>
                <w:lang w:eastAsia="en-US"/>
              </w:rPr>
              <w:t>5.推进青少年法治教育规范化和常态化，努力推动学生每年接受法治实践教育不少于2课时。</w:t>
            </w:r>
          </w:p>
        </w:tc>
      </w:tr>
    </w:tbl>
    <w:p>
      <w:pPr>
        <w:pStyle w:val="4"/>
        <w:keepNext/>
        <w:keepLines/>
        <w:pageBreakBefore w:val="0"/>
        <w:widowControl w:val="0"/>
        <w:kinsoku/>
        <w:wordWrap/>
        <w:overflowPunct/>
        <w:topLinePunct w:val="0"/>
        <w:autoSpaceDE/>
        <w:autoSpaceDN/>
        <w:bidi w:val="0"/>
        <w:adjustRightInd/>
        <w:snapToGrid/>
        <w:spacing w:before="156" w:beforeLines="50" w:after="156" w:afterLines="50" w:line="580" w:lineRule="exact"/>
        <w:jc w:val="center"/>
        <w:textAlignment w:val="auto"/>
        <w:rPr>
          <w:rFonts w:ascii="黑体" w:hAnsi="黑体" w:eastAsia="黑体" w:cs="黑体"/>
          <w:b w:val="0"/>
          <w:bCs w:val="0"/>
          <w:color w:val="auto"/>
          <w:kern w:val="0"/>
        </w:rPr>
      </w:pPr>
      <w:bookmarkStart w:id="54" w:name="_Toc964241467_WPSOffice_Level2"/>
      <w:bookmarkStart w:id="55" w:name="_Toc855879986_WPSOffice_Level2"/>
      <w:bookmarkStart w:id="56" w:name="_Toc98694806"/>
      <w:r>
        <w:rPr>
          <w:rFonts w:hint="eastAsia" w:ascii="黑体" w:hAnsi="黑体" w:eastAsia="黑体" w:cs="黑体"/>
          <w:b w:val="0"/>
          <w:bCs w:val="0"/>
          <w:color w:val="auto"/>
          <w:kern w:val="0"/>
        </w:rPr>
        <w:t>第二节 提升基础教育高质量发展</w:t>
      </w:r>
      <w:bookmarkEnd w:id="54"/>
      <w:r>
        <w:rPr>
          <w:rFonts w:hint="eastAsia" w:ascii="黑体" w:hAnsi="黑体" w:eastAsia="黑体" w:cs="黑体"/>
          <w:b w:val="0"/>
          <w:bCs w:val="0"/>
          <w:color w:val="auto"/>
          <w:kern w:val="0"/>
        </w:rPr>
        <w:t>水平</w:t>
      </w:r>
      <w:bookmarkEnd w:id="55"/>
      <w:bookmarkEnd w:id="56"/>
    </w:p>
    <w:p>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出台基础教育高质量发展八大行动方案，优化资源配置，</w:t>
      </w:r>
      <w:r>
        <w:rPr>
          <w:rFonts w:hint="eastAsia" w:ascii="仿宋_GB2312" w:hAnsi="仿宋_GB2312" w:eastAsia="仿宋_GB2312" w:cs="仿宋_GB2312"/>
          <w:color w:val="auto"/>
          <w:sz w:val="32"/>
          <w:szCs w:val="32"/>
          <w:lang w:eastAsia="zh-CN"/>
        </w:rPr>
        <w:t>增加</w:t>
      </w:r>
      <w:r>
        <w:rPr>
          <w:rFonts w:hint="eastAsia" w:ascii="仿宋_GB2312" w:hAnsi="仿宋_GB2312" w:eastAsia="仿宋_GB2312" w:cs="仿宋_GB2312"/>
          <w:color w:val="auto"/>
          <w:sz w:val="32"/>
          <w:szCs w:val="32"/>
        </w:rPr>
        <w:t>公办学位，改善学校办学条件，促进教育公平，服务乡村振兴，提升教育质量和育人水平。</w:t>
      </w:r>
    </w:p>
    <w:p>
      <w:pPr>
        <w:pageBreakBefore w:val="0"/>
        <w:widowControl w:val="0"/>
        <w:kinsoku/>
        <w:wordWrap/>
        <w:overflowPunct/>
        <w:topLinePunct w:val="0"/>
        <w:autoSpaceDE/>
        <w:autoSpaceDN/>
        <w:bidi w:val="0"/>
        <w:adjustRightInd/>
        <w:snapToGrid/>
        <w:spacing w:after="156" w:afterLines="50"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推动学前教育</w:t>
      </w:r>
      <w:r>
        <w:rPr>
          <w:rFonts w:hint="eastAsia" w:ascii="仿宋_GB2312" w:hAnsi="仿宋_GB2312" w:eastAsia="仿宋_GB2312" w:cs="仿宋_GB2312"/>
          <w:b/>
          <w:bCs/>
          <w:color w:val="auto"/>
          <w:sz w:val="32"/>
          <w:szCs w:val="32"/>
          <w:lang w:eastAsia="zh-CN"/>
        </w:rPr>
        <w:t>普及</w:t>
      </w:r>
      <w:r>
        <w:rPr>
          <w:rFonts w:hint="eastAsia" w:ascii="仿宋_GB2312" w:hAnsi="仿宋_GB2312" w:eastAsia="仿宋_GB2312" w:cs="仿宋_GB2312"/>
          <w:b/>
          <w:bCs/>
          <w:color w:val="auto"/>
          <w:sz w:val="32"/>
          <w:szCs w:val="32"/>
        </w:rPr>
        <w:t>普惠</w:t>
      </w:r>
      <w:r>
        <w:rPr>
          <w:rFonts w:hint="eastAsia" w:ascii="仿宋_GB2312" w:hAnsi="仿宋_GB2312" w:eastAsia="仿宋_GB2312" w:cs="仿宋_GB2312"/>
          <w:b/>
          <w:bCs/>
          <w:color w:val="auto"/>
          <w:sz w:val="32"/>
          <w:szCs w:val="32"/>
          <w:lang w:eastAsia="zh-CN"/>
        </w:rPr>
        <w:t>安全</w:t>
      </w:r>
      <w:r>
        <w:rPr>
          <w:rFonts w:hint="eastAsia" w:ascii="仿宋_GB2312" w:hAnsi="仿宋_GB2312" w:eastAsia="仿宋_GB2312" w:cs="仿宋_GB2312"/>
          <w:b/>
          <w:bCs/>
          <w:color w:val="auto"/>
          <w:sz w:val="32"/>
          <w:szCs w:val="32"/>
        </w:rPr>
        <w:t>优质发展。</w:t>
      </w:r>
      <w:r>
        <w:rPr>
          <w:rFonts w:hint="eastAsia" w:ascii="仿宋_GB2312" w:hAnsi="仿宋_GB2312" w:eastAsia="仿宋_GB2312" w:cs="仿宋_GB2312"/>
          <w:color w:val="auto"/>
          <w:sz w:val="32"/>
          <w:szCs w:val="32"/>
        </w:rPr>
        <w:t>部署实施第四期发展学前教育行动计划，根据城镇化规划和常住人口发展趋势，以</w:t>
      </w:r>
      <w:r>
        <w:rPr>
          <w:rFonts w:hint="eastAsia" w:ascii="仿宋_GB2312" w:hAnsi="仿宋_GB2312" w:eastAsia="仿宋_GB2312" w:cs="仿宋_GB2312"/>
          <w:color w:val="auto"/>
          <w:sz w:val="32"/>
          <w:szCs w:val="32"/>
          <w:lang w:eastAsia="zh-CN"/>
        </w:rPr>
        <w:t>区、县级市（</w:t>
      </w:r>
      <w:r>
        <w:rPr>
          <w:rFonts w:hint="eastAsia" w:ascii="仿宋_GB2312" w:hAnsi="仿宋_GB2312" w:eastAsia="仿宋_GB2312" w:cs="仿宋_GB2312"/>
          <w:color w:val="auto"/>
          <w:sz w:val="32"/>
          <w:szCs w:val="32"/>
          <w:shd w:val="clear" w:color="auto" w:fill="auto"/>
          <w:lang w:eastAsia="zh-CN"/>
        </w:rPr>
        <w:t>含</w:t>
      </w:r>
      <w:r>
        <w:rPr>
          <w:rFonts w:hint="eastAsia" w:ascii="仿宋_GB2312" w:hAnsi="仿宋_GB2312" w:eastAsia="仿宋_GB2312" w:cs="仿宋_GB2312"/>
          <w:color w:val="auto"/>
          <w:sz w:val="32"/>
          <w:szCs w:val="32"/>
          <w:lang w:eastAsia="zh-CN"/>
        </w:rPr>
        <w:t>茂名滨海新区、高新区）</w:t>
      </w:r>
      <w:r>
        <w:rPr>
          <w:rFonts w:hint="eastAsia" w:ascii="仿宋_GB2312" w:hAnsi="仿宋_GB2312" w:eastAsia="仿宋_GB2312" w:cs="仿宋_GB2312"/>
          <w:color w:val="auto"/>
          <w:sz w:val="32"/>
          <w:szCs w:val="32"/>
        </w:rPr>
        <w:t>为单位编制幼儿园布局规划，充分利用乡镇公共服务设施、农村中小学闲置校舍等资源，以租赁、租借、划转等形式将小学附设幼儿园（班）教育用地列入幼儿园建设专项规划。持续加大学前教育学位供给保障力度，对每个镇街</w:t>
      </w:r>
      <w:r>
        <w:rPr>
          <w:rFonts w:hint="eastAsia" w:ascii="仿宋_GB2312" w:hAnsi="仿宋_GB2312" w:eastAsia="仿宋_GB2312" w:cs="仿宋_GB2312"/>
          <w:color w:val="auto"/>
          <w:sz w:val="32"/>
          <w:szCs w:val="32"/>
          <w:lang w:eastAsia="zh-CN"/>
        </w:rPr>
        <w:t>现有的</w:t>
      </w:r>
      <w:r>
        <w:rPr>
          <w:rFonts w:hint="eastAsia" w:ascii="仿宋_GB2312" w:hAnsi="仿宋_GB2312" w:eastAsia="仿宋_GB2312" w:cs="仿宋_GB2312"/>
          <w:color w:val="auto"/>
          <w:sz w:val="32"/>
          <w:szCs w:val="32"/>
        </w:rPr>
        <w:t>规范化公办中心幼儿园实施提质，公办幼儿园资源不足的区域逐年新建、改扩建一批公办幼儿园。巩固提升“5080”攻坚工程成果，到2025年新增约1.81万个公办幼儿园学位</w:t>
      </w:r>
      <w:r>
        <w:rPr>
          <w:rFonts w:hint="eastAsia" w:ascii="仿宋_GB2312" w:hAnsi="仿宋_GB2312" w:eastAsia="仿宋_GB2312" w:cs="仿宋_GB2312"/>
          <w:color w:val="auto"/>
          <w:sz w:val="32"/>
          <w:szCs w:val="32"/>
          <w:lang w:eastAsia="zh-CN"/>
        </w:rPr>
        <w:t>（不含购买学位）</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针对我市农村幼儿园办园条件较薄弱、质量较差的问题，通过</w:t>
      </w:r>
      <w:r>
        <w:rPr>
          <w:rFonts w:hint="eastAsia" w:ascii="仿宋_GB2312" w:hAnsi="仿宋_GB2312" w:eastAsia="仿宋_GB2312" w:cs="仿宋_GB2312"/>
          <w:color w:val="auto"/>
          <w:sz w:val="32"/>
          <w:szCs w:val="32"/>
        </w:rPr>
        <w:t>落实镇村公办幼儿园的</w:t>
      </w:r>
      <w:r>
        <w:rPr>
          <w:rFonts w:hint="eastAsia" w:ascii="仿宋_GB2312" w:hAnsi="仿宋_GB2312" w:eastAsia="仿宋_GB2312" w:cs="仿宋_GB2312"/>
          <w:color w:val="auto"/>
          <w:sz w:val="32"/>
          <w:szCs w:val="32"/>
          <w:lang w:eastAsia="zh-CN"/>
        </w:rPr>
        <w:t>事业单位法人登记、专任教师、</w:t>
      </w:r>
      <w:r>
        <w:rPr>
          <w:rFonts w:hint="eastAsia" w:ascii="仿宋_GB2312" w:hAnsi="仿宋_GB2312" w:eastAsia="仿宋_GB2312" w:cs="仿宋_GB2312"/>
          <w:color w:val="auto"/>
          <w:sz w:val="32"/>
          <w:szCs w:val="32"/>
        </w:rPr>
        <w:t>独立校园用地</w:t>
      </w:r>
      <w:r>
        <w:rPr>
          <w:rFonts w:hint="eastAsia" w:ascii="仿宋_GB2312" w:hAnsi="仿宋_GB2312" w:eastAsia="仿宋_GB2312" w:cs="仿宋_GB2312"/>
          <w:color w:val="auto"/>
          <w:sz w:val="32"/>
          <w:szCs w:val="32"/>
          <w:lang w:eastAsia="zh-CN"/>
        </w:rPr>
        <w:t>等措施，努力</w:t>
      </w:r>
      <w:r>
        <w:rPr>
          <w:rFonts w:hint="eastAsia" w:ascii="仿宋_GB2312" w:hAnsi="仿宋_GB2312" w:eastAsia="仿宋_GB2312" w:cs="仿宋_GB2312"/>
          <w:color w:val="auto"/>
          <w:sz w:val="32"/>
          <w:szCs w:val="32"/>
        </w:rPr>
        <w:t>实</w:t>
      </w:r>
      <w:r>
        <w:rPr>
          <w:rFonts w:hint="eastAsia" w:ascii="仿宋_GB2312" w:hAnsi="仿宋_GB2312" w:eastAsia="仿宋_GB2312" w:cs="仿宋_GB2312"/>
          <w:color w:val="auto"/>
          <w:sz w:val="32"/>
          <w:szCs w:val="32"/>
          <w:lang w:eastAsia="zh-CN"/>
        </w:rPr>
        <w:t>现镇村公办幼儿园</w:t>
      </w:r>
      <w:r>
        <w:rPr>
          <w:rFonts w:hint="eastAsia" w:ascii="仿宋_GB2312" w:hAnsi="仿宋_GB2312" w:eastAsia="仿宋_GB2312" w:cs="仿宋_GB2312"/>
          <w:color w:val="auto"/>
          <w:sz w:val="32"/>
          <w:szCs w:val="32"/>
        </w:rPr>
        <w:t>“三有”（即有独立机构、有</w:t>
      </w:r>
      <w:r>
        <w:rPr>
          <w:rFonts w:hint="eastAsia" w:ascii="仿宋_GB2312" w:hAnsi="仿宋_GB2312" w:eastAsia="仿宋_GB2312" w:cs="仿宋_GB2312"/>
          <w:color w:val="auto"/>
          <w:sz w:val="32"/>
          <w:szCs w:val="32"/>
          <w:lang w:eastAsia="zh-CN"/>
        </w:rPr>
        <w:t>稳定教师、</w:t>
      </w:r>
      <w:r>
        <w:rPr>
          <w:rFonts w:hint="eastAsia" w:ascii="仿宋_GB2312" w:hAnsi="仿宋_GB2312" w:eastAsia="仿宋_GB2312" w:cs="仿宋_GB2312"/>
          <w:color w:val="auto"/>
          <w:sz w:val="32"/>
          <w:szCs w:val="32"/>
        </w:rPr>
        <w:t>有独立校园）</w:t>
      </w:r>
      <w:r>
        <w:rPr>
          <w:rFonts w:hint="eastAsia" w:ascii="仿宋_GB2312" w:hAnsi="仿宋_GB2312" w:eastAsia="仿宋_GB2312" w:cs="仿宋_GB2312"/>
          <w:color w:val="auto"/>
          <w:sz w:val="32"/>
          <w:szCs w:val="32"/>
          <w:lang w:eastAsia="zh-CN"/>
        </w:rPr>
        <w:t>，配备充足</w:t>
      </w:r>
      <w:r>
        <w:rPr>
          <w:rFonts w:hint="eastAsia" w:ascii="仿宋_GB2312" w:hAnsi="仿宋_GB2312" w:eastAsia="仿宋_GB2312" w:cs="仿宋_GB2312"/>
          <w:color w:val="auto"/>
          <w:sz w:val="32"/>
          <w:szCs w:val="32"/>
          <w:highlight w:val="none"/>
          <w:shd w:val="clear" w:color="auto" w:fill="auto"/>
          <w:lang w:eastAsia="zh-CN"/>
        </w:rPr>
        <w:t>教玩具</w:t>
      </w:r>
      <w:r>
        <w:rPr>
          <w:rFonts w:hint="eastAsia" w:ascii="仿宋_GB2312" w:hAnsi="仿宋_GB2312" w:eastAsia="仿宋_GB2312" w:cs="仿宋_GB2312"/>
          <w:color w:val="auto"/>
          <w:sz w:val="32"/>
          <w:szCs w:val="32"/>
          <w:shd w:val="clear" w:color="auto" w:fill="auto"/>
          <w:lang w:eastAsia="zh-CN"/>
        </w:rPr>
        <w:t>和</w:t>
      </w:r>
      <w:r>
        <w:rPr>
          <w:rFonts w:hint="eastAsia" w:ascii="仿宋_GB2312" w:hAnsi="仿宋_GB2312" w:eastAsia="仿宋_GB2312" w:cs="仿宋_GB2312"/>
          <w:color w:val="auto"/>
          <w:sz w:val="32"/>
          <w:szCs w:val="32"/>
          <w:lang w:eastAsia="zh-CN"/>
        </w:rPr>
        <w:t>游戏材料，提升保教质量。常住人口规模</w:t>
      </w:r>
      <w:r>
        <w:rPr>
          <w:rFonts w:hint="eastAsia" w:ascii="仿宋_GB2312" w:hAnsi="仿宋_GB2312" w:eastAsia="仿宋_GB2312" w:cs="仿宋_GB2312"/>
          <w:color w:val="auto"/>
          <w:sz w:val="32"/>
          <w:szCs w:val="32"/>
        </w:rPr>
        <w:t>4000人以上的行政村</w:t>
      </w:r>
      <w:r>
        <w:rPr>
          <w:rFonts w:hint="eastAsia" w:ascii="仿宋_GB2312" w:hAnsi="仿宋_GB2312" w:eastAsia="仿宋_GB2312" w:cs="仿宋_GB2312"/>
          <w:color w:val="auto"/>
          <w:sz w:val="32"/>
          <w:szCs w:val="32"/>
          <w:lang w:eastAsia="zh-CN"/>
        </w:rPr>
        <w:t>举办规范化普惠性幼儿园</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常住人口规模不足</w:t>
      </w:r>
      <w:r>
        <w:rPr>
          <w:rFonts w:hint="eastAsia" w:ascii="仿宋_GB2312" w:hAnsi="仿宋_GB2312" w:eastAsia="仿宋_GB2312" w:cs="仿宋_GB2312"/>
          <w:color w:val="auto"/>
          <w:sz w:val="32"/>
          <w:szCs w:val="32"/>
        </w:rPr>
        <w:t>4000人的行政村</w:t>
      </w:r>
      <w:r>
        <w:rPr>
          <w:rFonts w:hint="eastAsia" w:ascii="仿宋_GB2312" w:hAnsi="仿宋_GB2312" w:eastAsia="仿宋_GB2312" w:cs="仿宋_GB2312"/>
          <w:color w:val="auto"/>
          <w:sz w:val="32"/>
          <w:szCs w:val="32"/>
          <w:lang w:eastAsia="zh-CN"/>
        </w:rPr>
        <w:t>设分园或联合办园</w:t>
      </w:r>
      <w:r>
        <w:rPr>
          <w:rFonts w:hint="eastAsia" w:ascii="仿宋_GB2312" w:hAnsi="仿宋_GB2312" w:eastAsia="仿宋_GB2312" w:cs="仿宋_GB2312"/>
          <w:color w:val="auto"/>
          <w:sz w:val="32"/>
          <w:szCs w:val="32"/>
        </w:rPr>
        <w:t>。支持社会力量以多种形式举办普惠优质幼儿园。结合</w:t>
      </w:r>
      <w:r>
        <w:rPr>
          <w:rFonts w:hint="eastAsia" w:ascii="仿宋_GB2312" w:hAnsi="仿宋_GB2312" w:eastAsia="仿宋_GB2312" w:cs="仿宋_GB2312"/>
          <w:color w:val="auto"/>
          <w:sz w:val="32"/>
          <w:szCs w:val="32"/>
          <w:lang w:eastAsia="zh-CN"/>
        </w:rPr>
        <w:t>“一对夫妻可以生育三个子女”</w:t>
      </w:r>
      <w:r>
        <w:rPr>
          <w:rFonts w:hint="eastAsia" w:ascii="仿宋_GB2312" w:hAnsi="仿宋_GB2312" w:eastAsia="仿宋_GB2312" w:cs="仿宋_GB2312"/>
          <w:color w:val="auto"/>
          <w:sz w:val="32"/>
          <w:szCs w:val="32"/>
        </w:rPr>
        <w:t>政策和地方实际，及时修订和调整居住社区人口配套学位标准。完善学前教育成本分担机制，建立教育、财政、发展改革（物价）等相关部门联动机制，根据办园成本、经济发展水平、群众承受能力等因素，合理制定或调整公办幼儿园收费标准。健全幼儿园业务指导、监管、评估体系，加强学前教育教研工作，完善学前教育教研网络。逐步探索建立托幼服务一体化新模式，鼓励有学位空余的幼儿园依据相关标准开设托幼班。</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0" w:type="dxa"/>
            <w:noWrap w:val="0"/>
            <w:vAlign w:val="top"/>
          </w:tcPr>
          <w:p>
            <w:pPr>
              <w:spacing w:line="400" w:lineRule="exact"/>
              <w:jc w:val="center"/>
              <w:rPr>
                <w:rFonts w:hint="eastAsia" w:ascii="仿宋_GB2312" w:hAnsi="仿宋_GB2312" w:eastAsia="仿宋_GB2312" w:cs="仿宋_GB2312"/>
                <w:b/>
                <w:bCs/>
                <w:color w:val="auto"/>
                <w:sz w:val="24"/>
                <w:szCs w:val="24"/>
                <w:lang w:eastAsia="en-US"/>
              </w:rPr>
            </w:pPr>
            <w:r>
              <w:rPr>
                <w:rFonts w:hint="eastAsia" w:ascii="仿宋_GB2312" w:hAnsi="仿宋_GB2312" w:eastAsia="仿宋_GB2312" w:cs="仿宋_GB2312"/>
                <w:b/>
                <w:bCs/>
                <w:color w:val="auto"/>
                <w:sz w:val="28"/>
                <w:szCs w:val="28"/>
                <w:lang w:eastAsia="en-US"/>
              </w:rPr>
              <w:t>专栏</w:t>
            </w:r>
            <w:r>
              <w:rPr>
                <w:rFonts w:hint="eastAsia" w:ascii="仿宋_GB2312" w:hAnsi="仿宋_GB2312" w:eastAsia="仿宋_GB2312" w:cs="仿宋_GB2312"/>
                <w:b/>
                <w:bCs/>
                <w:color w:val="auto"/>
                <w:sz w:val="28"/>
                <w:szCs w:val="28"/>
                <w:lang w:val="en-US" w:eastAsia="zh-CN"/>
              </w:rPr>
              <w:t>8</w:t>
            </w:r>
            <w:r>
              <w:rPr>
                <w:rFonts w:hint="eastAsia" w:ascii="仿宋_GB2312" w:hAnsi="仿宋_GB2312" w:eastAsia="仿宋_GB2312" w:cs="仿宋_GB2312"/>
                <w:b/>
                <w:bCs/>
                <w:color w:val="auto"/>
                <w:sz w:val="28"/>
                <w:szCs w:val="28"/>
                <w:lang w:eastAsia="en-US"/>
              </w:rPr>
              <w:t xml:space="preserve"> 学前教育科学保教示范工程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0" w:type="dxa"/>
            <w:noWrap w:val="0"/>
            <w:vAlign w:val="top"/>
          </w:tcPr>
          <w:p>
            <w:pPr>
              <w:adjustRightInd w:val="0"/>
              <w:snapToGrid w:val="0"/>
              <w:spacing w:line="400" w:lineRule="exact"/>
              <w:ind w:firstLine="480" w:firstLineChars="200"/>
              <w:rPr>
                <w:rFonts w:hint="eastAsia" w:ascii="仿宋_GB2312" w:hAnsi="仿宋_GB2312" w:eastAsia="仿宋_GB2312" w:cs="仿宋_GB2312"/>
                <w:b/>
                <w:bCs/>
                <w:color w:val="auto"/>
                <w:sz w:val="24"/>
                <w:szCs w:val="24"/>
                <w:lang w:eastAsia="en-US"/>
              </w:rPr>
            </w:pPr>
            <w:r>
              <w:rPr>
                <w:rFonts w:hint="eastAsia" w:ascii="仿宋_GB2312" w:hAnsi="仿宋_GB2312" w:eastAsia="仿宋_GB2312" w:cs="仿宋_GB2312"/>
                <w:color w:val="auto"/>
                <w:sz w:val="24"/>
                <w:szCs w:val="24"/>
                <w:lang w:eastAsia="en-US"/>
              </w:rPr>
              <w:t>充实教研队伍，每个</w:t>
            </w:r>
            <w:r>
              <w:rPr>
                <w:rFonts w:hint="eastAsia" w:ascii="仿宋_GB2312" w:hAnsi="仿宋_GB2312" w:eastAsia="仿宋_GB2312" w:cs="仿宋_GB2312"/>
                <w:color w:val="auto"/>
                <w:sz w:val="24"/>
                <w:szCs w:val="24"/>
                <w:lang w:eastAsia="zh-CN"/>
              </w:rPr>
              <w:t>区、县级市（</w:t>
            </w:r>
            <w:r>
              <w:rPr>
                <w:rFonts w:hint="eastAsia" w:ascii="仿宋_GB2312" w:hAnsi="仿宋_GB2312" w:eastAsia="仿宋_GB2312" w:cs="仿宋_GB2312"/>
                <w:color w:val="auto"/>
                <w:sz w:val="24"/>
                <w:szCs w:val="24"/>
                <w:shd w:val="clear" w:color="auto" w:fill="auto"/>
                <w:lang w:eastAsia="zh-CN"/>
              </w:rPr>
              <w:t>含</w:t>
            </w:r>
            <w:r>
              <w:rPr>
                <w:rFonts w:hint="eastAsia" w:ascii="仿宋_GB2312" w:hAnsi="仿宋_GB2312" w:eastAsia="仿宋_GB2312" w:cs="仿宋_GB2312"/>
                <w:color w:val="auto"/>
                <w:sz w:val="24"/>
                <w:szCs w:val="24"/>
                <w:lang w:eastAsia="zh-CN"/>
              </w:rPr>
              <w:t>茂名滨海新区、高新区）</w:t>
            </w:r>
            <w:r>
              <w:rPr>
                <w:rFonts w:hint="eastAsia" w:ascii="仿宋_GB2312" w:hAnsi="仿宋_GB2312" w:eastAsia="仿宋_GB2312" w:cs="仿宋_GB2312"/>
                <w:color w:val="auto"/>
                <w:sz w:val="24"/>
                <w:szCs w:val="24"/>
                <w:lang w:eastAsia="en-US"/>
              </w:rPr>
              <w:t>至少配备一名学前教育专职教研员，健全学前教育教研网络和教研指导责任区制度，加强幼儿园科学保教工作指导。发挥优质公办幼儿园、乡镇中心幼儿园保教工作带动作用，在全市培育10个以上幼儿园科学保教示范项目。遵循幼儿身心发展特点和规律，以推进幼儿自主游戏、幼儿园与小学科学衔接为重点，推动各类幼儿园以游戏为基本活动，减缓幼儿园和小学衔接坡度，提高学前教育科学保教水平。到2025年，“5080”攻坚工程成果进一步巩固提升，乡镇中心幼儿园、村级幼儿园覆盖率达100%，规范化幼儿园覆盖率达85%以上。所有区、县级市均达到全国学前教育普及普惠督导评估标准。</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推动义务教育优质均衡发展。</w:t>
      </w:r>
      <w:r>
        <w:rPr>
          <w:rFonts w:hint="eastAsia" w:ascii="仿宋_GB2312" w:hAnsi="仿宋_GB2312" w:eastAsia="仿宋_GB2312" w:cs="仿宋_GB2312"/>
          <w:color w:val="auto"/>
          <w:sz w:val="32"/>
          <w:szCs w:val="32"/>
        </w:rPr>
        <w:t>落实义务教育以县为主管理体制，合理编制城乡义务教育学校布局规划，科学测算学位需求，扩大学位增量，全面加强乡村小规模学校和乡镇寄宿制学校建设，每个乡镇（不含街道）建有1所以上义务教育寄宿制学校。通过推动均衡发展实现新增约7.17万个公办义务教育学位的目标，满足适龄学生入学需求。开展实施义务教育薄弱环节改善与能力提升工</w:t>
      </w:r>
      <w:r>
        <w:rPr>
          <w:rFonts w:hint="eastAsia" w:ascii="仿宋_GB2312" w:hAnsi="仿宋_GB2312" w:eastAsia="仿宋_GB2312" w:cs="仿宋_GB2312"/>
          <w:color w:val="auto"/>
          <w:sz w:val="32"/>
          <w:szCs w:val="32"/>
          <w:lang w:eastAsia="zh-CN"/>
        </w:rPr>
        <w:t>程</w:t>
      </w:r>
      <w:r>
        <w:rPr>
          <w:rFonts w:hint="eastAsia" w:ascii="仿宋_GB2312" w:hAnsi="仿宋_GB2312" w:eastAsia="仿宋_GB2312" w:cs="仿宋_GB2312"/>
          <w:color w:val="auto"/>
          <w:sz w:val="32"/>
          <w:szCs w:val="32"/>
        </w:rPr>
        <w:t>，加强对乡镇薄弱中小学校的帮扶，推进集团化办学和学区化管理，到2025年，完成组建20个教育集团，其中10个以上创建成市级优质教育集团，2个进入</w:t>
      </w:r>
      <w:r>
        <w:rPr>
          <w:rFonts w:hint="eastAsia" w:ascii="仿宋_GB2312" w:hAnsi="仿宋_GB2312" w:eastAsia="仿宋_GB2312" w:cs="仿宋_GB2312"/>
          <w:color w:val="auto"/>
          <w:sz w:val="32"/>
          <w:szCs w:val="32"/>
          <w:lang w:eastAsia="zh-CN"/>
        </w:rPr>
        <w:t>省级优质特色</w:t>
      </w:r>
      <w:r>
        <w:rPr>
          <w:rFonts w:hint="eastAsia" w:ascii="仿宋_GB2312" w:hAnsi="仿宋_GB2312" w:eastAsia="仿宋_GB2312" w:cs="仿宋_GB2312"/>
          <w:color w:val="auto"/>
          <w:sz w:val="32"/>
          <w:szCs w:val="32"/>
        </w:rPr>
        <w:t>教育集团行列。</w:t>
      </w:r>
      <w:r>
        <w:rPr>
          <w:rFonts w:hint="eastAsia" w:ascii="仿宋_GB2312" w:hAnsi="仿宋_GB2312" w:eastAsia="仿宋_GB2312" w:cs="仿宋_GB2312"/>
          <w:color w:val="auto"/>
          <w:sz w:val="32"/>
          <w:szCs w:val="32"/>
          <w:lang w:eastAsia="zh-CN"/>
        </w:rPr>
        <w:t>加快市级专门学校建设，分类分步推进县级专门学校建设，建立健全专门教育体系机制。</w:t>
      </w:r>
      <w:r>
        <w:rPr>
          <w:rFonts w:hint="eastAsia" w:ascii="仿宋_GB2312" w:hAnsi="仿宋_GB2312" w:eastAsia="仿宋_GB2312" w:cs="仿宋_GB2312"/>
          <w:color w:val="auto"/>
          <w:sz w:val="32"/>
          <w:szCs w:val="32"/>
        </w:rPr>
        <w:t>完善家庭经济困难学生、困境儿童、留守儿童和随迁子女等特殊群体关爱与精准帮扶机制，健全教育救助制度。巩固拓展义务教育控辍保学成果，提高义务教育普及水平，到2025年，九年义务教育巩固率保持在9</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.5%以上。落实政府举办义务教育的主体责任，原则上不</w:t>
      </w:r>
      <w:r>
        <w:rPr>
          <w:rFonts w:hint="eastAsia" w:ascii="仿宋_GB2312" w:hAnsi="仿宋_GB2312" w:eastAsia="仿宋_GB2312" w:cs="仿宋_GB2312"/>
          <w:color w:val="auto"/>
          <w:sz w:val="32"/>
          <w:szCs w:val="32"/>
          <w:lang w:eastAsia="zh-CN"/>
        </w:rPr>
        <w:t>再</w:t>
      </w:r>
      <w:r>
        <w:rPr>
          <w:rFonts w:hint="eastAsia" w:ascii="仿宋_GB2312" w:hAnsi="仿宋_GB2312" w:eastAsia="仿宋_GB2312" w:cs="仿宋_GB2312"/>
          <w:color w:val="auto"/>
          <w:sz w:val="32"/>
          <w:szCs w:val="32"/>
        </w:rPr>
        <w:t>审批设立新的民办义务教育学校（含民办九年一贯制学校、十二年一贯制学校和完全中学）。进一步减轻义务教育阶段学生作业负担和校外培训负担，</w:t>
      </w:r>
      <w:r>
        <w:rPr>
          <w:rFonts w:hint="eastAsia" w:ascii="仿宋_GB2312" w:hAnsi="仿宋_GB2312" w:eastAsia="仿宋_GB2312" w:cs="仿宋_GB2312"/>
          <w:color w:val="auto"/>
          <w:sz w:val="32"/>
          <w:szCs w:val="32"/>
          <w:lang w:eastAsia="zh-CN"/>
        </w:rPr>
        <w:t>提升学校课后</w:t>
      </w:r>
      <w:r>
        <w:rPr>
          <w:rFonts w:hint="eastAsia" w:ascii="仿宋_GB2312" w:hAnsi="仿宋_GB2312" w:eastAsia="仿宋_GB2312" w:cs="仿宋_GB2312"/>
          <w:color w:val="auto"/>
          <w:sz w:val="32"/>
          <w:szCs w:val="32"/>
          <w:lang w:val="en-US" w:eastAsia="zh-CN"/>
        </w:rPr>
        <w:t>服务水平，确保学生在校内学会、学足、学好。开展义务教育质量常态化监测，强化结果运用，通过均衡培养骨干教师、均衡各科教师配置、均衡校舍和</w:t>
      </w:r>
      <w:r>
        <w:rPr>
          <w:rFonts w:hint="eastAsia" w:ascii="仿宋_GB2312" w:hAnsi="仿宋_GB2312" w:eastAsia="仿宋_GB2312" w:cs="仿宋_GB2312"/>
          <w:color w:val="auto"/>
          <w:sz w:val="32"/>
          <w:szCs w:val="32"/>
          <w:shd w:val="clear" w:color="auto" w:fill="auto"/>
          <w:lang w:val="en-US" w:eastAsia="zh-CN"/>
        </w:rPr>
        <w:t>场室</w:t>
      </w:r>
      <w:r>
        <w:rPr>
          <w:rFonts w:hint="eastAsia" w:ascii="仿宋_GB2312" w:hAnsi="仿宋_GB2312" w:eastAsia="仿宋_GB2312" w:cs="仿宋_GB2312"/>
          <w:color w:val="auto"/>
          <w:sz w:val="32"/>
          <w:szCs w:val="32"/>
          <w:lang w:val="en-US" w:eastAsia="zh-CN"/>
        </w:rPr>
        <w:t>配置、均衡配置设施设备、均衡</w:t>
      </w:r>
      <w:r>
        <w:rPr>
          <w:rFonts w:hint="eastAsia" w:ascii="仿宋_GB2312" w:hAnsi="仿宋_GB2312" w:eastAsia="仿宋_GB2312" w:cs="仿宋_GB2312"/>
          <w:color w:val="auto"/>
          <w:sz w:val="32"/>
          <w:szCs w:val="32"/>
          <w:shd w:val="clear" w:color="auto" w:fill="auto"/>
          <w:lang w:val="en-US" w:eastAsia="zh-CN"/>
        </w:rPr>
        <w:t>班</w:t>
      </w:r>
      <w:r>
        <w:rPr>
          <w:rFonts w:hint="eastAsia" w:ascii="仿宋_GB2312" w:hAnsi="仿宋_GB2312" w:eastAsia="仿宋_GB2312" w:cs="仿宋_GB2312"/>
          <w:color w:val="auto"/>
          <w:sz w:val="32"/>
          <w:szCs w:val="32"/>
          <w:shd w:val="clear" w:color="auto" w:fill="auto"/>
        </w:rPr>
        <w:t>额</w:t>
      </w:r>
      <w:r>
        <w:rPr>
          <w:rFonts w:hint="eastAsia" w:ascii="仿宋_GB2312" w:hAnsi="仿宋_GB2312" w:eastAsia="仿宋_GB2312" w:cs="仿宋_GB2312"/>
          <w:color w:val="auto"/>
          <w:sz w:val="32"/>
          <w:szCs w:val="32"/>
        </w:rPr>
        <w:t>和生源</w:t>
      </w:r>
      <w:r>
        <w:rPr>
          <w:rFonts w:hint="eastAsia" w:ascii="仿宋_GB2312" w:hAnsi="仿宋_GB2312" w:eastAsia="仿宋_GB2312" w:cs="仿宋_GB2312"/>
          <w:color w:val="auto"/>
          <w:sz w:val="32"/>
          <w:szCs w:val="32"/>
          <w:lang w:eastAsia="zh-CN"/>
        </w:rPr>
        <w:t>等措施，</w:t>
      </w:r>
      <w:r>
        <w:rPr>
          <w:rFonts w:hint="eastAsia" w:ascii="仿宋_GB2312" w:hAnsi="仿宋_GB2312" w:eastAsia="仿宋_GB2312" w:cs="仿宋_GB2312"/>
          <w:color w:val="auto"/>
          <w:sz w:val="32"/>
          <w:szCs w:val="32"/>
        </w:rPr>
        <w:t>推动</w:t>
      </w:r>
      <w:r>
        <w:rPr>
          <w:rFonts w:hint="eastAsia" w:ascii="仿宋_GB2312" w:hAnsi="仿宋_GB2312" w:eastAsia="仿宋_GB2312" w:cs="仿宋_GB2312"/>
          <w:color w:val="auto"/>
          <w:sz w:val="32"/>
          <w:szCs w:val="32"/>
          <w:lang w:eastAsia="zh-CN"/>
        </w:rPr>
        <w:t>信宜市、高州市</w:t>
      </w:r>
      <w:r>
        <w:rPr>
          <w:rFonts w:hint="eastAsia" w:ascii="仿宋_GB2312" w:hAnsi="仿宋_GB2312" w:eastAsia="仿宋_GB2312" w:cs="仿宋_GB2312"/>
          <w:color w:val="auto"/>
          <w:sz w:val="32"/>
          <w:szCs w:val="32"/>
        </w:rPr>
        <w:t>建成</w:t>
      </w:r>
      <w:r>
        <w:rPr>
          <w:rFonts w:hint="eastAsia" w:ascii="仿宋_GB2312" w:hAnsi="仿宋_GB2312" w:eastAsia="仿宋_GB2312" w:cs="仿宋_GB2312"/>
          <w:color w:val="auto"/>
          <w:sz w:val="32"/>
          <w:szCs w:val="32"/>
          <w:lang w:eastAsia="zh-CN"/>
        </w:rPr>
        <w:t>国家</w:t>
      </w:r>
      <w:r>
        <w:rPr>
          <w:rFonts w:hint="eastAsia" w:ascii="仿宋_GB2312" w:hAnsi="仿宋_GB2312" w:eastAsia="仿宋_GB2312" w:cs="仿宋_GB2312"/>
          <w:color w:val="auto"/>
          <w:sz w:val="32"/>
          <w:szCs w:val="32"/>
        </w:rPr>
        <w:t>义务教育优质均衡发展</w:t>
      </w:r>
      <w:r>
        <w:rPr>
          <w:rFonts w:hint="eastAsia" w:ascii="仿宋_GB2312" w:hAnsi="仿宋_GB2312" w:eastAsia="仿宋_GB2312" w:cs="仿宋_GB2312"/>
          <w:color w:val="auto"/>
          <w:sz w:val="32"/>
          <w:szCs w:val="32"/>
          <w:shd w:val="clear" w:color="auto" w:fill="auto"/>
        </w:rPr>
        <w:t>县</w:t>
      </w:r>
      <w:r>
        <w:rPr>
          <w:rFonts w:hint="eastAsia" w:ascii="仿宋_GB2312" w:hAnsi="仿宋_GB2312" w:eastAsia="仿宋_GB2312" w:cs="仿宋_GB2312"/>
          <w:color w:val="auto"/>
          <w:sz w:val="32"/>
          <w:szCs w:val="32"/>
        </w:rPr>
        <w:t>（市、区）。</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adjustRightInd w:val="0"/>
              <w:snapToGrid w:val="0"/>
              <w:spacing w:line="400" w:lineRule="exact"/>
              <w:jc w:val="center"/>
              <w:rPr>
                <w:rFonts w:hint="eastAsia" w:ascii="仿宋_GB2312" w:hAnsi="仿宋_GB2312" w:eastAsia="仿宋_GB2312" w:cs="仿宋_GB2312"/>
                <w:b/>
                <w:bCs/>
                <w:color w:val="auto"/>
                <w:sz w:val="24"/>
                <w:szCs w:val="24"/>
                <w:lang w:eastAsia="en-US"/>
              </w:rPr>
            </w:pPr>
            <w:r>
              <w:rPr>
                <w:rFonts w:hint="eastAsia" w:ascii="仿宋_GB2312" w:hAnsi="仿宋_GB2312" w:eastAsia="仿宋_GB2312" w:cs="仿宋_GB2312"/>
                <w:b/>
                <w:bCs/>
                <w:color w:val="auto"/>
                <w:sz w:val="28"/>
                <w:szCs w:val="28"/>
                <w:lang w:eastAsia="en-US"/>
              </w:rPr>
              <w:t>专栏</w:t>
            </w:r>
            <w:r>
              <w:rPr>
                <w:rFonts w:hint="eastAsia" w:ascii="仿宋_GB2312" w:hAnsi="仿宋_GB2312" w:eastAsia="仿宋_GB2312" w:cs="仿宋_GB2312"/>
                <w:b/>
                <w:bCs/>
                <w:color w:val="auto"/>
                <w:sz w:val="28"/>
                <w:szCs w:val="28"/>
                <w:lang w:val="en-US" w:eastAsia="zh-CN"/>
              </w:rPr>
              <w:t>9</w:t>
            </w:r>
            <w:r>
              <w:rPr>
                <w:rFonts w:hint="eastAsia" w:ascii="仿宋_GB2312" w:hAnsi="仿宋_GB2312" w:eastAsia="仿宋_GB2312" w:cs="仿宋_GB2312"/>
                <w:b/>
                <w:bCs/>
                <w:color w:val="auto"/>
                <w:sz w:val="28"/>
                <w:szCs w:val="28"/>
                <w:lang w:eastAsia="en-US"/>
              </w:rPr>
              <w:t xml:space="preserve"> 中小学集团化办学培育工程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adjustRightInd w:val="0"/>
              <w:snapToGrid w:val="0"/>
              <w:spacing w:line="400" w:lineRule="exact"/>
              <w:ind w:firstLine="480" w:firstLineChars="200"/>
              <w:rPr>
                <w:rFonts w:hint="eastAsia" w:ascii="仿宋_GB2312" w:hAnsi="仿宋_GB2312" w:eastAsia="仿宋_GB2312" w:cs="仿宋_GB2312"/>
                <w:b/>
                <w:bCs/>
                <w:color w:val="auto"/>
                <w:sz w:val="24"/>
                <w:szCs w:val="24"/>
                <w:lang w:eastAsia="en-US"/>
              </w:rPr>
            </w:pPr>
            <w:r>
              <w:rPr>
                <w:rFonts w:hint="eastAsia" w:ascii="仿宋_GB2312" w:hAnsi="仿宋_GB2312" w:eastAsia="仿宋_GB2312" w:cs="仿宋_GB2312"/>
                <w:color w:val="auto"/>
                <w:sz w:val="24"/>
                <w:szCs w:val="24"/>
                <w:lang w:eastAsia="en-US"/>
              </w:rPr>
              <w:t>以佛山市及有关院校结对帮扶我市基础教育高质量发展为契机，深化县域内各学段学校结对帮扶，积极探索城乡多</w:t>
            </w:r>
            <w:r>
              <w:rPr>
                <w:rFonts w:hint="eastAsia" w:ascii="仿宋_GB2312" w:hAnsi="仿宋_GB2312" w:eastAsia="仿宋_GB2312" w:cs="仿宋_GB2312"/>
                <w:color w:val="auto"/>
                <w:sz w:val="24"/>
                <w:szCs w:val="24"/>
                <w:shd w:val="clear" w:color="auto" w:fill="auto"/>
                <w:lang w:eastAsia="en-US"/>
              </w:rPr>
              <w:t>校</w:t>
            </w:r>
            <w:r>
              <w:rPr>
                <w:rFonts w:hint="eastAsia" w:ascii="仿宋_GB2312" w:hAnsi="仿宋_GB2312" w:eastAsia="仿宋_GB2312" w:cs="仿宋_GB2312"/>
                <w:color w:val="auto"/>
                <w:sz w:val="24"/>
                <w:szCs w:val="24"/>
                <w:lang w:eastAsia="en-US"/>
              </w:rPr>
              <w:t>协同、区域组团、同学段联盟、跨学段联合、委托管理等多种办学模式。推动教育集团化办学，彰显集团化办学优势，扩大优质基础教育资源覆盖面。到2025年，组建20个教育集团，培育创建10个以上市级优质特色教育集团，至少创建 2个省级优质特色教育集团。</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推动</w:t>
      </w:r>
      <w:r>
        <w:rPr>
          <w:rFonts w:hint="eastAsia" w:ascii="仿宋_GB2312" w:hAnsi="仿宋_GB2312" w:eastAsia="仿宋_GB2312" w:cs="仿宋_GB2312"/>
          <w:b/>
          <w:bCs/>
          <w:color w:val="auto"/>
          <w:sz w:val="32"/>
          <w:szCs w:val="32"/>
          <w:lang w:eastAsia="zh-CN"/>
        </w:rPr>
        <w:t>普通</w:t>
      </w:r>
      <w:r>
        <w:rPr>
          <w:rFonts w:hint="eastAsia" w:ascii="仿宋_GB2312" w:hAnsi="仿宋_GB2312" w:eastAsia="仿宋_GB2312" w:cs="仿宋_GB2312"/>
          <w:b/>
          <w:bCs/>
          <w:color w:val="auto"/>
          <w:sz w:val="32"/>
          <w:szCs w:val="32"/>
        </w:rPr>
        <w:t>高中教育优质特色多样化发展。</w:t>
      </w:r>
      <w:r>
        <w:rPr>
          <w:rFonts w:hint="eastAsia" w:ascii="仿宋_GB2312" w:hAnsi="仿宋_GB2312" w:eastAsia="仿宋_GB2312" w:cs="仿宋_GB2312"/>
          <w:color w:val="auto"/>
          <w:sz w:val="32"/>
          <w:szCs w:val="32"/>
        </w:rPr>
        <w:t>统筹全市普通高中学校布局，逐步建立以市为主的普通高中管理体制。实施县域普通高中发展提升行动计划，着力改善薄弱普通高中办学条件。加大普通高中公办学位供给，扩大优质高中教育资源，加快广东实验中学附属茂名中学等项目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建设成一批省、市级优质教育集团。消除56人以上大班额，新建县域普通高中学校规模不得超过3000人，防止出现新的大规模学校。通过推动教育优质特色多样化发展，实现到2025年新增约</w:t>
      </w:r>
      <w:r>
        <w:rPr>
          <w:rFonts w:hint="eastAsia" w:ascii="仿宋_GB2312" w:hAnsi="仿宋_GB2312" w:eastAsia="仿宋_GB2312" w:cs="仿宋_GB2312"/>
          <w:color w:val="auto"/>
          <w:sz w:val="32"/>
          <w:szCs w:val="32"/>
          <w:shd w:val="clear" w:color="auto" w:fill="auto"/>
          <w:lang w:val="en-US" w:eastAsia="zh-CN"/>
        </w:rPr>
        <w:t>1</w:t>
      </w:r>
      <w:r>
        <w:rPr>
          <w:rFonts w:hint="eastAsia" w:ascii="仿宋_GB2312" w:hAnsi="仿宋_GB2312" w:eastAsia="仿宋_GB2312" w:cs="仿宋_GB2312"/>
          <w:color w:val="auto"/>
          <w:sz w:val="32"/>
          <w:szCs w:val="32"/>
          <w:shd w:val="clear" w:color="auto" w:fill="auto"/>
        </w:rPr>
        <w:t>.</w:t>
      </w:r>
      <w:r>
        <w:rPr>
          <w:rFonts w:hint="eastAsia" w:ascii="仿宋_GB2312" w:hAnsi="仿宋_GB2312" w:eastAsia="仿宋_GB2312" w:cs="仿宋_GB2312"/>
          <w:color w:val="auto"/>
          <w:sz w:val="32"/>
          <w:szCs w:val="32"/>
          <w:shd w:val="clear" w:color="auto" w:fill="auto"/>
          <w:lang w:val="en-US" w:eastAsia="zh-CN"/>
        </w:rPr>
        <w:t>07</w:t>
      </w:r>
      <w:r>
        <w:rPr>
          <w:rFonts w:hint="eastAsia" w:ascii="仿宋_GB2312" w:hAnsi="仿宋_GB2312" w:eastAsia="仿宋_GB2312" w:cs="仿宋_GB2312"/>
          <w:color w:val="auto"/>
          <w:sz w:val="32"/>
          <w:szCs w:val="32"/>
        </w:rPr>
        <w:t>万个公办普通高中学位，高中阶段教育毛入学率达96.8%的目标。</w:t>
      </w:r>
      <w:r>
        <w:rPr>
          <w:rFonts w:hint="eastAsia" w:ascii="仿宋_GB2312" w:hAnsi="仿宋_GB2312" w:eastAsia="仿宋_GB2312" w:cs="仿宋_GB2312"/>
          <w:color w:val="auto"/>
          <w:sz w:val="32"/>
          <w:szCs w:val="32"/>
          <w:lang w:eastAsia="zh-CN"/>
        </w:rPr>
        <w:t>加强茂名市高考</w:t>
      </w:r>
      <w:r>
        <w:rPr>
          <w:rFonts w:hint="eastAsia" w:ascii="仿宋_GB2312" w:hAnsi="仿宋_GB2312" w:eastAsia="仿宋_GB2312" w:cs="仿宋_GB2312"/>
          <w:color w:val="auto"/>
          <w:sz w:val="32"/>
          <w:szCs w:val="32"/>
          <w:shd w:val="clear" w:color="auto" w:fill="auto"/>
          <w:lang w:eastAsia="zh-CN"/>
        </w:rPr>
        <w:t>五</w:t>
      </w:r>
      <w:r>
        <w:rPr>
          <w:rFonts w:hint="eastAsia" w:ascii="仿宋_GB2312" w:hAnsi="仿宋_GB2312" w:eastAsia="仿宋_GB2312" w:cs="仿宋_GB2312"/>
          <w:color w:val="auto"/>
          <w:sz w:val="32"/>
          <w:szCs w:val="32"/>
          <w:lang w:eastAsia="zh-CN"/>
        </w:rPr>
        <w:t>校联盟的示范引领作用，</w:t>
      </w:r>
      <w:r>
        <w:rPr>
          <w:rFonts w:hint="eastAsia" w:ascii="仿宋_GB2312" w:hAnsi="仿宋_GB2312" w:eastAsia="仿宋_GB2312" w:cs="仿宋_GB2312"/>
          <w:color w:val="auto"/>
          <w:sz w:val="32"/>
          <w:szCs w:val="32"/>
        </w:rPr>
        <w:t>实施特色普通高中建设工程，坚持“一校一案”，结合学校历史积淀、“好心文化”和办学优势，以学校特色课程体系建设为核心，凝练形成办学特色，形成普通高中优质特色多样化发展新格局。到2025年，培育10个市级特色示范高中，98%以上普通高中形成鲜明的办学特色。</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jc w:val="center"/>
              <w:rPr>
                <w:rFonts w:hint="eastAsia" w:ascii="仿宋_GB2312" w:hAnsi="仿宋_GB2312" w:eastAsia="仿宋_GB2312" w:cs="仿宋_GB2312"/>
                <w:b/>
                <w:bCs/>
                <w:color w:val="auto"/>
                <w:sz w:val="28"/>
                <w:szCs w:val="28"/>
                <w:lang w:eastAsia="en-US"/>
              </w:rPr>
            </w:pPr>
            <w:r>
              <w:rPr>
                <w:rFonts w:hint="eastAsia" w:ascii="仿宋_GB2312" w:hAnsi="仿宋_GB2312" w:eastAsia="仿宋_GB2312" w:cs="仿宋_GB2312"/>
                <w:b/>
                <w:bCs/>
                <w:color w:val="auto"/>
                <w:sz w:val="28"/>
                <w:szCs w:val="28"/>
                <w:lang w:eastAsia="en-US"/>
              </w:rPr>
              <w:t>专栏</w:t>
            </w:r>
            <w:r>
              <w:rPr>
                <w:rFonts w:hint="eastAsia" w:ascii="仿宋_GB2312" w:hAnsi="仿宋_GB2312" w:eastAsia="仿宋_GB2312" w:cs="仿宋_GB2312"/>
                <w:b/>
                <w:bCs/>
                <w:color w:val="auto"/>
                <w:sz w:val="28"/>
                <w:szCs w:val="28"/>
                <w:lang w:val="en-US" w:eastAsia="zh-CN"/>
              </w:rPr>
              <w:t>10</w:t>
            </w:r>
            <w:r>
              <w:rPr>
                <w:rFonts w:hint="eastAsia" w:ascii="仿宋_GB2312" w:hAnsi="仿宋_GB2312" w:eastAsia="仿宋_GB2312" w:cs="仿宋_GB2312"/>
                <w:b/>
                <w:bCs/>
                <w:color w:val="auto"/>
                <w:sz w:val="28"/>
                <w:szCs w:val="28"/>
                <w:lang w:eastAsia="en-US"/>
              </w:rPr>
              <w:t xml:space="preserve"> 特色普通高中创建工程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adjustRightInd w:val="0"/>
              <w:snapToGrid w:val="0"/>
              <w:spacing w:line="400" w:lineRule="exact"/>
              <w:ind w:firstLine="480" w:firstLineChars="200"/>
              <w:rPr>
                <w:rFonts w:hint="eastAsia" w:ascii="仿宋_GB2312" w:hAnsi="仿宋_GB2312" w:eastAsia="仿宋_GB2312" w:cs="仿宋_GB2312"/>
                <w:b/>
                <w:bCs/>
                <w:color w:val="auto"/>
                <w:sz w:val="24"/>
                <w:szCs w:val="24"/>
                <w:lang w:eastAsia="en-US"/>
              </w:rPr>
            </w:pPr>
            <w:r>
              <w:rPr>
                <w:rFonts w:hint="eastAsia" w:ascii="仿宋_GB2312" w:hAnsi="仿宋_GB2312" w:eastAsia="仿宋_GB2312" w:cs="仿宋_GB2312"/>
                <w:color w:val="auto"/>
                <w:sz w:val="24"/>
                <w:szCs w:val="24"/>
                <w:lang w:eastAsia="en-US"/>
              </w:rPr>
              <w:t>坚持“一校一案”，结合学校历史积淀、“好心文化”和办学优势，以学校特色课程体系建设为核心，分批次遴选培育10所在人文、数理、科技、艺术、体育等领域育人成效显著的市级普通高中特色示范学校，引领全市普通高中学校特色发展、错位发展、分类发展。学习特色示范校在课程建设、教学改革、考试评价、教师发展等方面的成功经验，探索有效推进课程改革的实践模式，推动形成普通高中学校优质特色多样化发展的新格局。</w:t>
            </w:r>
          </w:p>
        </w:tc>
      </w:tr>
    </w:tbl>
    <w:p>
      <w:pPr>
        <w:keepNext w:val="0"/>
        <w:keepLines w:val="0"/>
        <w:pageBreakBefore w:val="0"/>
        <w:widowControl w:val="0"/>
        <w:kinsoku/>
        <w:wordWrap/>
        <w:overflowPunct/>
        <w:topLinePunct w:val="0"/>
        <w:autoSpaceDE/>
        <w:autoSpaceDN/>
        <w:bidi w:val="0"/>
        <w:adjustRightInd/>
        <w:snapToGrid/>
        <w:spacing w:before="156" w:beforeLines="50" w:line="540" w:lineRule="exact"/>
        <w:ind w:firstLine="640" w:firstLineChars="200"/>
        <w:textAlignment w:val="auto"/>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b/>
          <w:bCs/>
          <w:color w:val="auto"/>
          <w:sz w:val="32"/>
          <w:szCs w:val="32"/>
        </w:rPr>
        <w:t>推动特殊教育公平融合发展。</w:t>
      </w:r>
      <w:r>
        <w:rPr>
          <w:rFonts w:hint="eastAsia" w:ascii="仿宋_GB2312" w:hAnsi="仿宋_GB2312" w:eastAsia="仿宋_GB2312" w:cs="仿宋_GB2312"/>
          <w:color w:val="auto"/>
          <w:sz w:val="32"/>
          <w:szCs w:val="32"/>
        </w:rPr>
        <w:t>遵循特殊教育规律，以适宜融合为目标，加快健全特殊教育体系，完善特殊教育保障机制，提高特殊教育质量。</w:t>
      </w:r>
      <w:r>
        <w:rPr>
          <w:rFonts w:hint="eastAsia" w:ascii="仿宋_GB2312" w:hAnsi="仿宋_GB2312" w:eastAsia="仿宋_GB2312" w:cs="仿宋_GB2312"/>
          <w:color w:val="auto"/>
          <w:sz w:val="32"/>
          <w:szCs w:val="32"/>
          <w:lang w:eastAsia="zh-CN"/>
        </w:rPr>
        <w:t>组织</w:t>
      </w:r>
      <w:r>
        <w:rPr>
          <w:rFonts w:hint="eastAsia" w:ascii="仿宋_GB2312" w:hAnsi="仿宋_GB2312" w:eastAsia="仿宋_GB2312" w:cs="仿宋_GB2312"/>
          <w:color w:val="auto"/>
          <w:sz w:val="32"/>
          <w:szCs w:val="32"/>
        </w:rPr>
        <w:t>实施第三期特殊教育提升计划，巩固提高残疾儿童义务教育入学水平，全面实施从义务教育到高中阶段教育残疾学生12年免费教育，推动有条件的地区实施从学前教育到高中阶段教育残疾学生15年免费教育。</w:t>
      </w:r>
      <w:r>
        <w:rPr>
          <w:rFonts w:hint="eastAsia" w:ascii="仿宋_GB2312" w:hAnsi="仿宋_GB2312" w:eastAsia="仿宋_GB2312" w:cs="仿宋_GB2312"/>
          <w:color w:val="auto"/>
          <w:sz w:val="32"/>
          <w:szCs w:val="32"/>
          <w:lang w:eastAsia="zh-CN"/>
        </w:rPr>
        <w:t>加强普通学校无障碍设施建设</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招收</w:t>
      </w:r>
      <w:r>
        <w:rPr>
          <w:rFonts w:hint="eastAsia" w:ascii="仿宋_GB2312" w:hAnsi="仿宋_GB2312" w:eastAsia="仿宋_GB2312" w:cs="仿宋_GB2312"/>
          <w:color w:val="auto"/>
          <w:sz w:val="32"/>
          <w:szCs w:val="32"/>
          <w:lang w:val="en-US" w:eastAsia="zh-CN"/>
        </w:rPr>
        <w:t>5人以上残疾学生的普通学校按要求配备随班就读资源教室和专、兼职资源教师，配齐配足设施设备，充分满足特殊教育发展要求，送教上门比例原则上不超过20%。</w:t>
      </w:r>
      <w:r>
        <w:rPr>
          <w:rFonts w:hint="eastAsia" w:ascii="仿宋_GB2312" w:hAnsi="仿宋_GB2312" w:eastAsia="仿宋_GB2312" w:cs="仿宋_GB2312"/>
          <w:color w:val="auto"/>
          <w:sz w:val="32"/>
          <w:szCs w:val="32"/>
        </w:rPr>
        <w:t>着力发展以职业教育为主的残疾人高中阶段教育，鼓励普通中等职业学校增设特教部（班），实现</w:t>
      </w:r>
      <w:r>
        <w:rPr>
          <w:rFonts w:hint="eastAsia" w:ascii="仿宋_GB2312" w:hAnsi="仿宋_GB2312" w:eastAsia="仿宋_GB2312" w:cs="仿宋_GB2312"/>
          <w:color w:val="auto"/>
          <w:sz w:val="32"/>
          <w:szCs w:val="32"/>
          <w:lang w:eastAsia="zh-CN"/>
        </w:rPr>
        <w:t>有条件的区、县级市都</w:t>
      </w:r>
      <w:r>
        <w:rPr>
          <w:rFonts w:hint="eastAsia" w:ascii="仿宋_GB2312" w:hAnsi="仿宋_GB2312" w:eastAsia="仿宋_GB2312" w:cs="仿宋_GB2312"/>
          <w:color w:val="auto"/>
          <w:sz w:val="32"/>
          <w:szCs w:val="32"/>
        </w:rPr>
        <w:t>有</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个残疾人中等职业教育部（班）。持续推进已建成特殊教育学校的达标建设</w:t>
      </w:r>
      <w:r>
        <w:rPr>
          <w:rFonts w:hint="eastAsia" w:ascii="仿宋_GB2312" w:hAnsi="仿宋_GB2312" w:eastAsia="仿宋_GB2312" w:cs="仿宋_GB2312"/>
          <w:color w:val="auto"/>
          <w:sz w:val="32"/>
          <w:szCs w:val="32"/>
          <w:shd w:val="clear" w:color="auto" w:fill="auto"/>
        </w:rPr>
        <w:t>。</w:t>
      </w:r>
      <w:r>
        <w:rPr>
          <w:rFonts w:hint="eastAsia" w:ascii="仿宋_GB2312" w:hAnsi="仿宋_GB2312" w:eastAsia="仿宋_GB2312" w:cs="仿宋_GB2312"/>
          <w:color w:val="auto"/>
          <w:sz w:val="32"/>
          <w:szCs w:val="32"/>
          <w:shd w:val="clear" w:color="auto" w:fill="auto"/>
          <w:lang w:eastAsia="zh-CN"/>
        </w:rPr>
        <w:t>鼓励为残疾儿童提供早期康复教育服务。</w:t>
      </w:r>
      <w:r>
        <w:rPr>
          <w:rFonts w:hint="eastAsia" w:ascii="仿宋_GB2312" w:hAnsi="仿宋_GB2312" w:eastAsia="仿宋_GB2312" w:cs="仿宋_GB2312"/>
          <w:color w:val="auto"/>
          <w:sz w:val="32"/>
          <w:szCs w:val="32"/>
        </w:rPr>
        <w:t>全面实施融合教育，提高随班就读工作质量和育人水平。加强特殊教育教师队伍建设，采取灵活方式配齐配足特殊教育教研员和专兼职教师。到2025年，残疾儿童义务教育入学率达到98.5%以上。积极推进特殊教育课程教学与评价改革</w:t>
      </w:r>
      <w:r>
        <w:rPr>
          <w:rFonts w:hint="eastAsia" w:ascii="仿宋_GB2312" w:hAnsi="仿宋_GB2312" w:eastAsia="仿宋_GB2312" w:cs="仿宋_GB2312"/>
          <w:color w:val="auto"/>
          <w:sz w:val="32"/>
          <w:szCs w:val="32"/>
          <w:highlight w:val="none"/>
          <w:shd w:val="clear" w:color="auto" w:fill="auto"/>
        </w:rPr>
        <w:t>。</w:t>
      </w:r>
    </w:p>
    <w:p>
      <w:pPr>
        <w:pStyle w:val="2"/>
        <w:keepNext w:val="0"/>
        <w:keepLines w:val="0"/>
        <w:pageBreakBefore w:val="0"/>
        <w:widowControl w:val="0"/>
        <w:shd w:val="clear" w:color="auto" w:fill="auto"/>
        <w:kinsoku/>
        <w:wordWrap/>
        <w:overflowPunct/>
        <w:topLinePunct w:val="0"/>
        <w:autoSpaceDE/>
        <w:autoSpaceDN/>
        <w:bidi w:val="0"/>
        <w:adjustRightInd/>
        <w:snapToGrid/>
        <w:spacing w:after="156" w:afterLines="50" w:line="54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实施乡村教育振兴计划。</w:t>
      </w:r>
      <w:r>
        <w:rPr>
          <w:rFonts w:hint="eastAsia" w:ascii="仿宋_GB2312" w:hAnsi="仿宋_GB2312" w:eastAsia="仿宋_GB2312" w:cs="仿宋_GB2312"/>
          <w:color w:val="auto"/>
          <w:kern w:val="2"/>
          <w:sz w:val="32"/>
          <w:szCs w:val="32"/>
          <w:lang w:val="en-US" w:eastAsia="zh-CN" w:bidi="ar-SA"/>
        </w:rPr>
        <w:t>建立健全巩固拓展教育脱贫攻坚成果长效机制，夯实阻断贫困代际传承的基础。加强巩固拓展教育脱贫攻坚成果同乡村振兴战略实施的衔接，建立健全常态化控辍保学工作机制。总结我市各地乡村教育振兴的优秀经验，加大市县镇村四级教育统筹改革力度。实施城乡教师轮岗交流制度，推广信宜做法，组织乡镇学校教师到城区学校跟岗学习培训，城区学校教师到乡镇学校支教，实现城乡教育优质均衡发展和乡村教育全面振兴。推进“专递课堂”“名师课堂”“名校网络课堂”常态化应用，特别为农村学校、教学点提供优质学习资源。加大乡村教师公费培养力度，定向培养定向就业。</w:t>
      </w:r>
      <w:r>
        <w:rPr>
          <w:rFonts w:hint="eastAsia" w:ascii="仿宋_GB2312" w:hAnsi="仿宋_GB2312" w:eastAsia="仿宋_GB2312" w:cs="仿宋_GB2312"/>
          <w:color w:val="auto"/>
          <w:kern w:val="2"/>
          <w:sz w:val="32"/>
          <w:szCs w:val="32"/>
          <w:highlight w:val="none"/>
          <w:lang w:val="en-US" w:eastAsia="zh-CN" w:bidi="ar-SA"/>
        </w:rPr>
        <w:t>开展乡村学校教学改革支持行动，平稳有序整合教学点，提升乡村教育质量。</w:t>
      </w:r>
      <w:r>
        <w:rPr>
          <w:rFonts w:hint="eastAsia" w:ascii="仿宋_GB2312" w:hAnsi="仿宋_GB2312" w:eastAsia="仿宋_GB2312" w:cs="仿宋_GB2312"/>
          <w:color w:val="auto"/>
          <w:kern w:val="2"/>
          <w:sz w:val="32"/>
          <w:szCs w:val="32"/>
          <w:lang w:val="en-US" w:eastAsia="zh-CN" w:bidi="ar-SA"/>
        </w:rPr>
        <w:t>鼓励和支持乡村学校挖掘利用乡土文化资源，推动学校融入乡村振兴发展。支持高校乡村振兴科技创新行动计划，加快农业科技创新成果转化应用。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adjustRightInd w:val="0"/>
              <w:snapToGrid w:val="0"/>
              <w:spacing w:line="400" w:lineRule="exact"/>
              <w:jc w:val="center"/>
              <w:rPr>
                <w:rFonts w:hint="eastAsia" w:ascii="仿宋_GB2312" w:hAnsi="仿宋_GB2312" w:eastAsia="仿宋_GB2312" w:cs="仿宋_GB2312"/>
                <w:b/>
                <w:bCs/>
                <w:color w:val="auto"/>
                <w:sz w:val="24"/>
                <w:szCs w:val="24"/>
                <w:lang w:eastAsia="en-US"/>
              </w:rPr>
            </w:pPr>
            <w:r>
              <w:rPr>
                <w:rFonts w:hint="eastAsia" w:ascii="仿宋_GB2312" w:hAnsi="仿宋_GB2312" w:eastAsia="仿宋_GB2312" w:cs="仿宋_GB2312"/>
                <w:b/>
                <w:bCs/>
                <w:color w:val="auto"/>
                <w:sz w:val="28"/>
                <w:szCs w:val="28"/>
                <w:lang w:eastAsia="en-US"/>
              </w:rPr>
              <w:t>专栏1</w:t>
            </w:r>
            <w:r>
              <w:rPr>
                <w:rFonts w:hint="eastAsia" w:ascii="仿宋_GB2312" w:hAnsi="仿宋_GB2312" w:eastAsia="仿宋_GB2312" w:cs="仿宋_GB2312"/>
                <w:b/>
                <w:bCs/>
                <w:color w:val="auto"/>
                <w:sz w:val="28"/>
                <w:szCs w:val="28"/>
                <w:lang w:val="en-US" w:eastAsia="zh-CN"/>
              </w:rPr>
              <w:t>1</w:t>
            </w:r>
            <w:r>
              <w:rPr>
                <w:rFonts w:hint="eastAsia" w:ascii="仿宋_GB2312" w:hAnsi="仿宋_GB2312" w:eastAsia="仿宋_GB2312" w:cs="仿宋_GB2312"/>
                <w:b/>
                <w:bCs/>
                <w:color w:val="auto"/>
                <w:sz w:val="28"/>
                <w:szCs w:val="28"/>
                <w:lang w:eastAsia="en-US"/>
              </w:rPr>
              <w:t xml:space="preserve"> 第三期特殊教育提升计划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adjustRightInd w:val="0"/>
              <w:snapToGrid w:val="0"/>
              <w:spacing w:line="400" w:lineRule="exact"/>
              <w:ind w:firstLine="480" w:firstLineChars="200"/>
              <w:rPr>
                <w:rFonts w:hint="eastAsia" w:ascii="仿宋_GB2312" w:hAnsi="仿宋_GB2312" w:eastAsia="仿宋_GB2312" w:cs="仿宋_GB2312"/>
                <w:b/>
                <w:bCs/>
                <w:color w:val="auto"/>
                <w:sz w:val="24"/>
                <w:szCs w:val="24"/>
                <w:lang w:eastAsia="zh-CN"/>
              </w:rPr>
            </w:pPr>
            <w:r>
              <w:rPr>
                <w:rFonts w:hint="eastAsia" w:ascii="仿宋_GB2312" w:hAnsi="仿宋_GB2312" w:eastAsia="仿宋_GB2312" w:cs="仿宋_GB2312"/>
                <w:color w:val="auto"/>
                <w:sz w:val="24"/>
                <w:szCs w:val="24"/>
                <w:lang w:eastAsia="en-US"/>
              </w:rPr>
              <w:t>巩固提高残疾儿童义务教育入学水平，</w:t>
            </w:r>
            <w:r>
              <w:rPr>
                <w:rFonts w:hint="eastAsia" w:ascii="仿宋_GB2312" w:hAnsi="仿宋_GB2312" w:eastAsia="仿宋_GB2312" w:cs="仿宋_GB2312"/>
                <w:color w:val="auto"/>
                <w:sz w:val="24"/>
                <w:szCs w:val="24"/>
                <w:lang w:eastAsia="zh-CN"/>
              </w:rPr>
              <w:t>到</w:t>
            </w:r>
            <w:r>
              <w:rPr>
                <w:rFonts w:hint="eastAsia" w:ascii="仿宋_GB2312" w:hAnsi="仿宋_GB2312" w:eastAsia="仿宋_GB2312" w:cs="仿宋_GB2312"/>
                <w:color w:val="auto"/>
                <w:sz w:val="24"/>
                <w:szCs w:val="24"/>
                <w:lang w:val="en-US" w:eastAsia="zh-CN"/>
              </w:rPr>
              <w:t>2025年，</w:t>
            </w:r>
            <w:r>
              <w:rPr>
                <w:rFonts w:hint="eastAsia" w:ascii="仿宋_GB2312" w:hAnsi="仿宋_GB2312" w:eastAsia="仿宋_GB2312" w:cs="仿宋_GB2312"/>
                <w:color w:val="auto"/>
                <w:sz w:val="24"/>
                <w:szCs w:val="24"/>
                <w:lang w:eastAsia="en-US"/>
              </w:rPr>
              <w:t>残疾儿童义务教育入学率达到</w:t>
            </w:r>
            <w:r>
              <w:rPr>
                <w:rFonts w:hint="eastAsia" w:ascii="仿宋_GB2312" w:hAnsi="仿宋_GB2312" w:eastAsia="仿宋_GB2312" w:cs="仿宋_GB2312"/>
                <w:color w:val="auto"/>
                <w:sz w:val="24"/>
                <w:szCs w:val="24"/>
                <w:lang w:val="en-US" w:eastAsia="zh-CN"/>
              </w:rPr>
              <w:t>98.5%</w:t>
            </w:r>
            <w:r>
              <w:rPr>
                <w:rFonts w:hint="eastAsia" w:ascii="仿宋_GB2312" w:hAnsi="仿宋_GB2312" w:eastAsia="仿宋_GB2312" w:cs="仿宋_GB2312"/>
                <w:color w:val="auto"/>
                <w:sz w:val="24"/>
                <w:szCs w:val="24"/>
                <w:lang w:eastAsia="en-US"/>
              </w:rPr>
              <w:t>以上，加快发展非义务教育阶段特殊教育。推动区域特殊教育资源中心和普通学校随班就读资源教室建设，加强学校无障碍环境建设。推进特殊教育内涵建设，建设一批优质特殊教育资源中心、特殊教育基地学校和随班就读示范学校，建设3门以上精品课程。深化特殊教育课程教学改革，全面实施融合教育，提高随班就读工作质量。持证残疾幼儿学前三年入园率达到85%以上</w:t>
            </w:r>
            <w:r>
              <w:rPr>
                <w:rFonts w:hint="eastAsia" w:ascii="仿宋_GB2312" w:hAnsi="仿宋_GB2312" w:eastAsia="仿宋_GB2312" w:cs="仿宋_GB2312"/>
                <w:color w:val="auto"/>
                <w:sz w:val="24"/>
                <w:szCs w:val="24"/>
                <w:lang w:eastAsia="zh-CN"/>
              </w:rPr>
              <w:t>。</w:t>
            </w:r>
          </w:p>
        </w:tc>
      </w:tr>
    </w:tbl>
    <w:p>
      <w:pPr>
        <w:pStyle w:val="4"/>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cs="黑体"/>
          <w:b w:val="0"/>
          <w:bCs w:val="0"/>
          <w:color w:val="auto"/>
          <w:kern w:val="0"/>
        </w:rPr>
      </w:pPr>
      <w:bookmarkStart w:id="57" w:name="_Toc846109265_WPSOffice_Level2"/>
      <w:bookmarkStart w:id="58" w:name="_Toc763790997_WPSOffice_Level2"/>
      <w:bookmarkStart w:id="59" w:name="_Toc98694807"/>
      <w:r>
        <w:rPr>
          <w:rFonts w:hint="eastAsia" w:ascii="黑体" w:hAnsi="黑体" w:eastAsia="黑体" w:cs="黑体"/>
          <w:b w:val="0"/>
          <w:bCs w:val="0"/>
          <w:color w:val="auto"/>
          <w:kern w:val="0"/>
        </w:rPr>
        <w:t>第三节 提升职业教育扩容提质强服务</w:t>
      </w:r>
      <w:bookmarkEnd w:id="57"/>
      <w:r>
        <w:rPr>
          <w:rFonts w:hint="eastAsia" w:ascii="黑体" w:hAnsi="黑体" w:eastAsia="黑体" w:cs="黑体"/>
          <w:b w:val="0"/>
          <w:bCs w:val="0"/>
          <w:color w:val="auto"/>
          <w:kern w:val="0"/>
        </w:rPr>
        <w:t>水平</w:t>
      </w:r>
      <w:bookmarkEnd w:id="58"/>
      <w:bookmarkEnd w:id="59"/>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推进职业教育扩容提质，优化职业教育办学体制机制，以有关院校结对帮扶</w:t>
      </w:r>
      <w:r>
        <w:rPr>
          <w:rFonts w:hint="eastAsia" w:ascii="仿宋_GB2312" w:hAnsi="仿宋_GB2312" w:eastAsia="仿宋_GB2312" w:cs="仿宋_GB2312"/>
          <w:color w:val="auto"/>
          <w:sz w:val="32"/>
          <w:szCs w:val="32"/>
          <w:lang w:eastAsia="zh-CN"/>
        </w:rPr>
        <w:t>我市及各区、县级市</w:t>
      </w:r>
      <w:r>
        <w:rPr>
          <w:rFonts w:hint="eastAsia" w:ascii="仿宋_GB2312" w:hAnsi="仿宋_GB2312" w:eastAsia="仿宋_GB2312" w:cs="仿宋_GB2312"/>
          <w:color w:val="auto"/>
          <w:sz w:val="32"/>
          <w:szCs w:val="32"/>
        </w:rPr>
        <w:t>基础教育高质量发展为契机，切实增强职业教育适应性，培养更多高素质技术技能人才，为茂名高质量发展提供有力人才和技能支撑。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扩大优质职业教育资源供给。</w:t>
      </w:r>
      <w:r>
        <w:rPr>
          <w:rFonts w:hint="eastAsia" w:ascii="仿宋_GB2312" w:hAnsi="仿宋_GB2312" w:eastAsia="仿宋_GB2312" w:cs="仿宋_GB2312"/>
          <w:color w:val="auto"/>
          <w:sz w:val="32"/>
          <w:szCs w:val="32"/>
        </w:rPr>
        <w:t>强化职业教育类型定位，促进职业教育特色发展、高端迈进。突出中职教育基础地位，健全地市统筹为主的中等职业教育管理体制，实施办学条件达标工程。支持广东茂名幼儿师范专科学校申请升格创建省内第一所幼儿师范本科院校，</w:t>
      </w:r>
      <w:r>
        <w:rPr>
          <w:rFonts w:hint="eastAsia" w:ascii="仿宋_GB2312" w:hAnsi="仿宋_GB2312" w:eastAsia="仿宋_GB2312" w:cs="仿宋_GB2312"/>
          <w:color w:val="auto"/>
          <w:kern w:val="0"/>
          <w:sz w:val="32"/>
          <w:szCs w:val="32"/>
        </w:rPr>
        <w:t>推动茂名技师学院纳入高等职业学校序列。依托广东茂名幼儿师范专科学校实行与省内本科院校联合专本同读培养教师模式，建设一批省级特色师范专业和教师教育学科品牌。</w:t>
      </w:r>
      <w:r>
        <w:rPr>
          <w:rFonts w:hint="eastAsia" w:ascii="仿宋_GB2312" w:hAnsi="仿宋_GB2312" w:eastAsia="仿宋_GB2312" w:cs="仿宋_GB2312"/>
          <w:color w:val="auto"/>
          <w:sz w:val="32"/>
          <w:szCs w:val="32"/>
        </w:rPr>
        <w:t>到2025年，建成3</w:t>
      </w:r>
      <w:r>
        <w:rPr>
          <w:rFonts w:hint="eastAsia" w:hAnsi="仿宋_GB2312" w:cs="仿宋_GB2312"/>
          <w:color w:val="auto"/>
          <w:sz w:val="32"/>
          <w:szCs w:val="32"/>
          <w:lang w:val="en-US" w:eastAsia="zh-CN"/>
        </w:rPr>
        <w:t>-</w:t>
      </w:r>
      <w:r>
        <w:rPr>
          <w:rFonts w:hint="eastAsia" w:ascii="仿宋_GB2312" w:hAnsi="仿宋_GB2312" w:eastAsia="仿宋_GB2312" w:cs="仿宋_GB2312"/>
          <w:color w:val="auto"/>
          <w:sz w:val="32"/>
          <w:szCs w:val="32"/>
        </w:rPr>
        <w:t>4所省高水平中等职业学校和一批优质中职学校和专业，建成10个左右“双精准”示范专业。整合县域职业教育资源，加强中职学校校区和实习实训设施、场所等基础能力建设，形成层次结构合理、类型特色鲜明的职业教育集群。完善职业教育招生机制，建立中等职业学校和普通高中统一招生平台，实现中等职业教育与普通高中教育协调发展。</w:t>
      </w:r>
    </w:p>
    <w:p>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shd w:val="clear" w:color="auto" w:fill="FFFF00"/>
          <w:lang w:val="en-US" w:eastAsia="zh-CN"/>
        </w:rPr>
      </w:pPr>
      <w:r>
        <w:rPr>
          <w:rFonts w:hint="eastAsia" w:ascii="仿宋_GB2312" w:hAnsi="仿宋_GB2312" w:eastAsia="仿宋_GB2312" w:cs="仿宋_GB2312"/>
          <w:b/>
          <w:bCs/>
          <w:color w:val="auto"/>
          <w:sz w:val="32"/>
          <w:szCs w:val="32"/>
        </w:rPr>
        <w:t>提升技术技能人才培养质量。</w:t>
      </w:r>
      <w:r>
        <w:rPr>
          <w:rFonts w:hint="eastAsia" w:ascii="仿宋_GB2312" w:hAnsi="仿宋_GB2312" w:eastAsia="仿宋_GB2312" w:cs="仿宋_GB2312"/>
          <w:color w:val="auto"/>
          <w:sz w:val="32"/>
          <w:szCs w:val="32"/>
        </w:rPr>
        <w:t>坚持立德树人、德</w:t>
      </w:r>
      <w:r>
        <w:rPr>
          <w:rFonts w:hint="eastAsia" w:ascii="仿宋_GB2312" w:hAnsi="仿宋_GB2312" w:eastAsia="仿宋_GB2312" w:cs="仿宋_GB2312"/>
          <w:color w:val="auto"/>
          <w:sz w:val="32"/>
          <w:szCs w:val="32"/>
          <w:shd w:val="clear" w:color="auto" w:fill="auto"/>
        </w:rPr>
        <w:t>技</w:t>
      </w:r>
      <w:r>
        <w:rPr>
          <w:rFonts w:hint="eastAsia" w:ascii="仿宋_GB2312" w:hAnsi="仿宋_GB2312" w:eastAsia="仿宋_GB2312" w:cs="仿宋_GB2312"/>
          <w:color w:val="auto"/>
          <w:sz w:val="32"/>
          <w:szCs w:val="32"/>
        </w:rPr>
        <w:t>并修，推动思想政治教育与技术技能培养融合统一，注重学生工匠精神和精益求精习惯的养成。落实受援方主体责任，深入推进珠三角地区职业院校与</w:t>
      </w:r>
      <w:r>
        <w:rPr>
          <w:rFonts w:hint="eastAsia" w:ascii="仿宋_GB2312" w:hAnsi="仿宋_GB2312" w:eastAsia="仿宋_GB2312" w:cs="仿宋_GB2312"/>
          <w:color w:val="auto"/>
          <w:sz w:val="32"/>
          <w:szCs w:val="32"/>
          <w:lang w:eastAsia="zh-CN"/>
        </w:rPr>
        <w:t>我市</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区、县级市</w:t>
      </w:r>
      <w:r>
        <w:rPr>
          <w:rFonts w:hint="eastAsia" w:ascii="仿宋_GB2312" w:hAnsi="仿宋_GB2312" w:eastAsia="仿宋_GB2312" w:cs="仿宋_GB2312"/>
          <w:color w:val="auto"/>
          <w:sz w:val="32"/>
          <w:szCs w:val="32"/>
        </w:rPr>
        <w:t>结对帮扶，提升我市职业院校办学水平和教育质量。大力推进“粤菜师傅”“广东技工”“南粤家政”工程。聚焦服务产业、优势特色产业和市域经济社会发展，推进广东茂名农林科技职业学院、广东茂名健康职业学院、广东茂名幼儿师范专科学校等院校深化以教师素质提升、教材改革、教法创新为重点的育人方式改革，优化技术技能型人才培养结构、规格和质量，培育一批支撑我市绿色石化</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产业及市域经济社会发展的专业人才。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yellow"/>
          <w:shd w:val="clear" w:color="auto" w:fill="auto"/>
        </w:rPr>
      </w:pPr>
      <w:r>
        <w:rPr>
          <w:rFonts w:hint="eastAsia" w:ascii="仿宋_GB2312" w:hAnsi="仿宋_GB2312" w:eastAsia="仿宋_GB2312" w:cs="仿宋_GB2312"/>
          <w:b/>
          <w:bCs/>
          <w:color w:val="auto"/>
          <w:sz w:val="32"/>
          <w:szCs w:val="32"/>
        </w:rPr>
        <w:t>深化产</w:t>
      </w:r>
      <w:r>
        <w:rPr>
          <w:rFonts w:hint="eastAsia" w:ascii="仿宋_GB2312" w:hAnsi="仿宋_GB2312" w:eastAsia="仿宋_GB2312" w:cs="仿宋_GB2312"/>
          <w:b/>
          <w:bCs/>
          <w:color w:val="auto"/>
          <w:sz w:val="32"/>
          <w:szCs w:val="32"/>
          <w:shd w:val="clear" w:color="auto" w:fill="auto"/>
        </w:rPr>
        <w:t>教</w:t>
      </w:r>
      <w:r>
        <w:rPr>
          <w:rFonts w:hint="eastAsia" w:ascii="仿宋_GB2312" w:hAnsi="仿宋_GB2312" w:eastAsia="仿宋_GB2312" w:cs="仿宋_GB2312"/>
          <w:b/>
          <w:bCs/>
          <w:color w:val="auto"/>
          <w:sz w:val="32"/>
          <w:szCs w:val="32"/>
        </w:rPr>
        <w:t>融合与校企合作。</w:t>
      </w:r>
      <w:r>
        <w:rPr>
          <w:rFonts w:hint="eastAsia" w:ascii="仿宋_GB2312" w:hAnsi="仿宋_GB2312" w:eastAsia="仿宋_GB2312" w:cs="仿宋_GB2312"/>
          <w:color w:val="auto"/>
          <w:sz w:val="32"/>
          <w:szCs w:val="32"/>
        </w:rPr>
        <w:t>增强职业教育适应性，围绕</w:t>
      </w:r>
      <w:r>
        <w:rPr>
          <w:rFonts w:hint="eastAsia" w:ascii="仿宋_GB2312" w:hAnsi="仿宋_GB2312" w:eastAsia="仿宋_GB2312" w:cs="仿宋_GB2312"/>
          <w:color w:val="auto"/>
          <w:sz w:val="32"/>
          <w:szCs w:val="32"/>
          <w:lang w:eastAsia="zh-CN"/>
        </w:rPr>
        <w:t>产业链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shd w:val="clear" w:color="auto" w:fill="auto"/>
        </w:rPr>
        <w:t>稳链</w:t>
      </w:r>
      <w:r>
        <w:rPr>
          <w:rFonts w:hint="eastAsia" w:ascii="仿宋_GB2312" w:hAnsi="仿宋_GB2312" w:eastAsia="仿宋_GB2312" w:cs="仿宋_GB2312"/>
          <w:color w:val="auto"/>
          <w:sz w:val="32"/>
          <w:szCs w:val="32"/>
        </w:rPr>
        <w:t>补</w:t>
      </w:r>
      <w:r>
        <w:rPr>
          <w:rFonts w:hint="eastAsia" w:ascii="仿宋_GB2312" w:hAnsi="仿宋_GB2312" w:eastAsia="仿宋_GB2312" w:cs="仿宋_GB2312"/>
          <w:color w:val="auto"/>
          <w:sz w:val="32"/>
          <w:szCs w:val="32"/>
          <w:shd w:val="clear" w:color="auto" w:fill="auto"/>
        </w:rPr>
        <w:t>链强链控链</w:t>
      </w:r>
      <w:r>
        <w:rPr>
          <w:rFonts w:hint="eastAsia" w:ascii="仿宋_GB2312" w:hAnsi="仿宋_GB2312" w:eastAsia="仿宋_GB2312" w:cs="仿宋_GB2312"/>
          <w:color w:val="auto"/>
          <w:sz w:val="32"/>
          <w:szCs w:val="32"/>
        </w:rPr>
        <w:t>”，瞄准技术变革和产业优化升级方向，推动职业院校专业、人才、技术与重要产业全链条融合，服务产业强市。健全多元办学格局，完善产</w:t>
      </w:r>
      <w:r>
        <w:rPr>
          <w:rFonts w:hint="eastAsia" w:ascii="仿宋_GB2312" w:hAnsi="仿宋_GB2312" w:eastAsia="仿宋_GB2312" w:cs="仿宋_GB2312"/>
          <w:color w:val="auto"/>
          <w:sz w:val="32"/>
          <w:szCs w:val="32"/>
          <w:shd w:val="clear" w:color="auto" w:fill="auto"/>
        </w:rPr>
        <w:t>教</w:t>
      </w:r>
      <w:r>
        <w:rPr>
          <w:rFonts w:hint="eastAsia" w:ascii="仿宋_GB2312" w:hAnsi="仿宋_GB2312" w:eastAsia="仿宋_GB2312" w:cs="仿宋_GB2312"/>
          <w:color w:val="auto"/>
          <w:sz w:val="32"/>
          <w:szCs w:val="32"/>
        </w:rPr>
        <w:t>融合办学体制，创新校企合作办学机制，规范指导公办职业院校与行业企业合作办学，支持“</w:t>
      </w:r>
      <w:r>
        <w:rPr>
          <w:rFonts w:hint="eastAsia" w:ascii="仿宋_GB2312" w:hAnsi="仿宋_GB2312" w:eastAsia="仿宋_GB2312" w:cs="仿宋_GB2312"/>
          <w:color w:val="auto"/>
          <w:sz w:val="32"/>
          <w:szCs w:val="32"/>
          <w:shd w:val="clear" w:color="auto" w:fill="auto"/>
        </w:rPr>
        <w:t>引校</w:t>
      </w:r>
      <w:r>
        <w:rPr>
          <w:rFonts w:hint="eastAsia" w:ascii="仿宋_GB2312" w:hAnsi="仿宋_GB2312" w:eastAsia="仿宋_GB2312" w:cs="仿宋_GB2312"/>
          <w:color w:val="auto"/>
          <w:sz w:val="32"/>
          <w:szCs w:val="32"/>
        </w:rPr>
        <w:t>进企”“</w:t>
      </w:r>
      <w:r>
        <w:rPr>
          <w:rFonts w:hint="eastAsia" w:ascii="仿宋_GB2312" w:hAnsi="仿宋_GB2312" w:eastAsia="仿宋_GB2312" w:cs="仿宋_GB2312"/>
          <w:color w:val="auto"/>
          <w:sz w:val="32"/>
          <w:szCs w:val="32"/>
          <w:shd w:val="clear" w:color="auto" w:fill="auto"/>
        </w:rPr>
        <w:t>引企驻</w:t>
      </w:r>
      <w:r>
        <w:rPr>
          <w:rFonts w:hint="eastAsia" w:ascii="仿宋_GB2312" w:hAnsi="仿宋_GB2312" w:eastAsia="仿宋_GB2312" w:cs="仿宋_GB2312"/>
          <w:color w:val="auto"/>
          <w:sz w:val="32"/>
          <w:szCs w:val="32"/>
        </w:rPr>
        <w:t>校”“校企一体”工作。全面推行现代学徒制和企业新型学徒制，对符合条件的企业按规定给予职业培训补贴。围绕服务乡村振兴，大力培养懂农业、兴农村、富农民的一流农林人才。</w:t>
      </w:r>
      <w:r>
        <w:rPr>
          <w:rFonts w:hint="eastAsia" w:ascii="仿宋_GB2312" w:hAnsi="仿宋_GB2312" w:eastAsia="仿宋_GB2312" w:cs="仿宋_GB2312"/>
          <w:color w:val="auto"/>
          <w:sz w:val="32"/>
          <w:szCs w:val="32"/>
          <w:lang w:eastAsia="zh-CN"/>
        </w:rPr>
        <w:t>支持广东茂名农林科技职业学院加快推进新农科建设，加快培养</w:t>
      </w:r>
      <w:r>
        <w:rPr>
          <w:rFonts w:hint="eastAsia" w:ascii="仿宋_GB2312" w:hAnsi="仿宋_GB2312" w:eastAsia="仿宋_GB2312" w:cs="仿宋_GB2312"/>
          <w:color w:val="auto"/>
          <w:sz w:val="32"/>
          <w:szCs w:val="32"/>
          <w:shd w:val="clear" w:color="auto" w:fill="auto"/>
          <w:lang w:eastAsia="zh-CN"/>
        </w:rPr>
        <w:t>知农</w:t>
      </w:r>
      <w:r>
        <w:rPr>
          <w:rFonts w:hint="eastAsia" w:ascii="仿宋_GB2312" w:hAnsi="仿宋_GB2312" w:eastAsia="仿宋_GB2312" w:cs="仿宋_GB2312"/>
          <w:color w:val="auto"/>
          <w:sz w:val="32"/>
          <w:szCs w:val="32"/>
          <w:lang w:eastAsia="zh-CN"/>
        </w:rPr>
        <w:t>爱农的创新型、复合型、应用型农林人才，加强学生耕读教育，优化</w:t>
      </w:r>
      <w:r>
        <w:rPr>
          <w:rFonts w:hint="eastAsia" w:ascii="仿宋_GB2312" w:hAnsi="仿宋_GB2312" w:eastAsia="仿宋_GB2312" w:cs="仿宋_GB2312"/>
          <w:color w:val="auto"/>
          <w:sz w:val="32"/>
          <w:szCs w:val="32"/>
          <w:shd w:val="clear" w:color="auto" w:fill="auto"/>
          <w:lang w:eastAsia="zh-CN"/>
        </w:rPr>
        <w:t>涉</w:t>
      </w:r>
      <w:r>
        <w:rPr>
          <w:rFonts w:hint="eastAsia" w:ascii="仿宋_GB2312" w:hAnsi="仿宋_GB2312" w:eastAsia="仿宋_GB2312" w:cs="仿宋_GB2312"/>
          <w:color w:val="auto"/>
          <w:sz w:val="32"/>
          <w:szCs w:val="32"/>
          <w:lang w:eastAsia="zh-CN"/>
        </w:rPr>
        <w:t>农学科专业设置，培养基层急需的专业技术人才，提高农业农村人才培养的产业融合度，面向农村培养培训高素质农民和农村实用人才，推动乡村人才振兴，服务支撑我市农业转型升级。</w:t>
      </w:r>
    </w:p>
    <w:p>
      <w:pPr>
        <w:keepNext w:val="0"/>
        <w:keepLines w:val="0"/>
        <w:pageBreakBefore w:val="0"/>
        <w:widowControl w:val="0"/>
        <w:kinsoku/>
        <w:wordWrap/>
        <w:overflowPunct/>
        <w:topLinePunct w:val="0"/>
        <w:autoSpaceDE/>
        <w:autoSpaceDN/>
        <w:bidi w:val="0"/>
        <w:adjustRightInd/>
        <w:snapToGrid/>
        <w:spacing w:after="156" w:afterLines="5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实施职业院校办学条件达标工程。</w:t>
      </w:r>
      <w:r>
        <w:rPr>
          <w:rFonts w:hint="eastAsia" w:ascii="仿宋_GB2312" w:hAnsi="仿宋_GB2312" w:eastAsia="仿宋_GB2312" w:cs="仿宋_GB2312"/>
          <w:color w:val="auto"/>
          <w:sz w:val="32"/>
          <w:szCs w:val="32"/>
          <w:lang w:eastAsia="en-US"/>
        </w:rPr>
        <w:t>加大投入和政策支持，改善办学条件，扶持技工院校开展校区新建、改扩建和实习实训设施设备、场所等基础能力建设和标准化建设。提升办学质量，打造品牌专业。</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jc w:val="center"/>
              <w:rPr>
                <w:rFonts w:hint="eastAsia" w:ascii="仿宋_GB2312" w:hAnsi="仿宋_GB2312" w:eastAsia="仿宋_GB2312" w:cs="仿宋_GB2312"/>
                <w:b/>
                <w:bCs/>
                <w:color w:val="auto"/>
                <w:sz w:val="24"/>
                <w:szCs w:val="24"/>
                <w:lang w:eastAsia="en-US"/>
              </w:rPr>
            </w:pPr>
            <w:r>
              <w:rPr>
                <w:rFonts w:hint="eastAsia" w:ascii="仿宋_GB2312" w:hAnsi="仿宋_GB2312" w:eastAsia="仿宋_GB2312" w:cs="仿宋_GB2312"/>
                <w:b/>
                <w:bCs/>
                <w:color w:val="auto"/>
                <w:sz w:val="28"/>
                <w:szCs w:val="28"/>
                <w:lang w:eastAsia="en-US"/>
              </w:rPr>
              <w:t>专栏1</w:t>
            </w:r>
            <w:r>
              <w:rPr>
                <w:rFonts w:hint="eastAsia" w:ascii="仿宋_GB2312" w:hAnsi="仿宋_GB2312" w:eastAsia="仿宋_GB2312" w:cs="仿宋_GB2312"/>
                <w:b/>
                <w:bCs/>
                <w:color w:val="auto"/>
                <w:sz w:val="28"/>
                <w:szCs w:val="28"/>
                <w:lang w:val="en-US" w:eastAsia="zh-CN"/>
              </w:rPr>
              <w:t>2</w:t>
            </w:r>
            <w:r>
              <w:rPr>
                <w:rFonts w:hint="eastAsia" w:ascii="仿宋_GB2312" w:hAnsi="仿宋_GB2312" w:eastAsia="仿宋_GB2312" w:cs="仿宋_GB2312"/>
                <w:b/>
                <w:bCs/>
                <w:color w:val="auto"/>
                <w:sz w:val="28"/>
                <w:szCs w:val="28"/>
                <w:lang w:eastAsia="en-US"/>
              </w:rPr>
              <w:t xml:space="preserve"> 职业教育扩容提质强服务工程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4"/>
                <w:szCs w:val="24"/>
                <w:shd w:val="clear" w:color="auto" w:fill="auto"/>
                <w:lang w:val="en-US" w:eastAsia="en-US"/>
              </w:rPr>
              <w:t>加快职业教育扩容提质</w:t>
            </w:r>
            <w:r>
              <w:rPr>
                <w:rFonts w:hint="eastAsia" w:ascii="仿宋_GB2312" w:hAnsi="仿宋_GB2312" w:eastAsia="仿宋_GB2312" w:cs="仿宋_GB2312"/>
                <w:b/>
                <w:bCs/>
                <w:color w:val="auto"/>
                <w:sz w:val="24"/>
                <w:szCs w:val="24"/>
                <w:lang w:eastAsia="en-US"/>
              </w:rPr>
              <w:t>。</w:t>
            </w:r>
            <w:r>
              <w:rPr>
                <w:rFonts w:hint="eastAsia" w:ascii="仿宋_GB2312" w:hAnsi="仿宋_GB2312" w:eastAsia="仿宋_GB2312" w:cs="仿宋_GB2312"/>
                <w:color w:val="auto"/>
                <w:sz w:val="24"/>
                <w:szCs w:val="24"/>
                <w:lang w:eastAsia="en-US"/>
              </w:rPr>
              <w:t>到2025年，全市职业学校新建工程项目1</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lang w:eastAsia="en-US"/>
              </w:rPr>
              <w:t>个，中高职学校在校生总规模达到14.5万人。推动建设省域高水平高职院校和高水平专业群，建设省高水平中职学校和专业。办好10个省级精准对接、精准育人的“双精准”示范特色专业点、“双精准”示范专业。建设5个左右骨干企业与高校、职业院校共同组建的校企合作职业教育集团、产</w:t>
            </w:r>
            <w:r>
              <w:rPr>
                <w:rFonts w:hint="eastAsia" w:ascii="仿宋_GB2312" w:hAnsi="仿宋_GB2312" w:eastAsia="仿宋_GB2312" w:cs="仿宋_GB2312"/>
                <w:color w:val="auto"/>
                <w:sz w:val="24"/>
                <w:szCs w:val="24"/>
                <w:shd w:val="clear" w:color="auto" w:fill="auto"/>
                <w:lang w:eastAsia="en-US"/>
              </w:rPr>
              <w:t>教</w:t>
            </w:r>
            <w:r>
              <w:rPr>
                <w:rFonts w:hint="eastAsia" w:ascii="仿宋_GB2312" w:hAnsi="仿宋_GB2312" w:eastAsia="仿宋_GB2312" w:cs="仿宋_GB2312"/>
                <w:color w:val="auto"/>
                <w:sz w:val="24"/>
                <w:szCs w:val="24"/>
                <w:lang w:eastAsia="en-US"/>
              </w:rPr>
              <w:t>融合联盟，建设一批区域综合性高水平</w:t>
            </w:r>
            <w:r>
              <w:rPr>
                <w:rFonts w:hint="eastAsia" w:ascii="仿宋_GB2312" w:hAnsi="仿宋_GB2312" w:eastAsia="仿宋_GB2312" w:cs="仿宋_GB2312"/>
                <w:color w:val="auto"/>
                <w:sz w:val="24"/>
                <w:szCs w:val="24"/>
                <w:shd w:val="clear" w:color="auto" w:fill="auto"/>
                <w:lang w:eastAsia="en-US"/>
              </w:rPr>
              <w:t>产教</w:t>
            </w:r>
            <w:r>
              <w:rPr>
                <w:rFonts w:hint="eastAsia" w:ascii="仿宋_GB2312" w:hAnsi="仿宋_GB2312" w:eastAsia="仿宋_GB2312" w:cs="仿宋_GB2312"/>
                <w:color w:val="auto"/>
                <w:sz w:val="24"/>
                <w:szCs w:val="24"/>
                <w:lang w:eastAsia="en-US"/>
              </w:rPr>
              <w:t>融合实训基地。</w:t>
            </w:r>
          </w:p>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4"/>
                <w:szCs w:val="24"/>
                <w:shd w:val="clear" w:color="auto" w:fill="auto"/>
                <w:lang w:eastAsia="en-US"/>
              </w:rPr>
              <w:t>实</w:t>
            </w:r>
            <w:r>
              <w:rPr>
                <w:rFonts w:hint="eastAsia" w:ascii="仿宋_GB2312" w:hAnsi="仿宋_GB2312" w:eastAsia="仿宋_GB2312" w:cs="仿宋_GB2312"/>
                <w:b/>
                <w:bCs/>
                <w:color w:val="auto"/>
                <w:sz w:val="24"/>
                <w:szCs w:val="24"/>
                <w:shd w:val="clear" w:color="auto" w:fill="auto"/>
                <w:lang w:val="en-US" w:eastAsia="en-US"/>
              </w:rPr>
              <w:t>施技工院校建设发展“强基培优”计划。</w:t>
            </w:r>
            <w:r>
              <w:rPr>
                <w:rFonts w:hint="eastAsia" w:ascii="仿宋_GB2312" w:hAnsi="仿宋_GB2312" w:eastAsia="仿宋_GB2312" w:cs="仿宋_GB2312"/>
                <w:color w:val="auto"/>
                <w:sz w:val="24"/>
                <w:szCs w:val="24"/>
                <w:lang w:eastAsia="en-US"/>
              </w:rPr>
              <w:t>建设高水平技师学院和技工学校（含高级技工学校）</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eastAsia="en-US"/>
              </w:rPr>
              <w:t>到2025年</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eastAsia="en-US"/>
              </w:rPr>
              <w:t>全市技师学院达到1所、高级技工学校达到3所、优质技工学校达到4所。</w:t>
            </w:r>
          </w:p>
          <w:p>
            <w:pPr>
              <w:spacing w:line="400" w:lineRule="exact"/>
              <w:ind w:firstLine="480" w:firstLineChars="200"/>
              <w:rPr>
                <w:rFonts w:hint="eastAsia" w:ascii="仿宋_GB2312" w:hAnsi="仿宋_GB2312" w:eastAsia="仿宋_GB2312" w:cs="仿宋_GB2312"/>
                <w:color w:val="auto"/>
                <w:sz w:val="21"/>
                <w:szCs w:val="24"/>
                <w:lang w:eastAsia="en-US"/>
              </w:rPr>
            </w:pPr>
            <w:r>
              <w:rPr>
                <w:rFonts w:hint="eastAsia" w:ascii="仿宋_GB2312" w:hAnsi="仿宋_GB2312" w:eastAsia="仿宋_GB2312" w:cs="仿宋_GB2312"/>
                <w:b/>
                <w:bCs/>
                <w:color w:val="auto"/>
                <w:sz w:val="24"/>
                <w:szCs w:val="24"/>
                <w:shd w:val="clear" w:color="auto" w:fill="auto"/>
                <w:lang w:val="en-US" w:eastAsia="zh-CN"/>
              </w:rPr>
              <w:t>实施职业院校办学条件达标工程。</w:t>
            </w:r>
            <w:r>
              <w:rPr>
                <w:rFonts w:hint="eastAsia" w:ascii="仿宋_GB2312" w:hAnsi="仿宋_GB2312" w:eastAsia="仿宋_GB2312" w:cs="仿宋_GB2312"/>
                <w:color w:val="auto"/>
                <w:sz w:val="24"/>
                <w:szCs w:val="24"/>
                <w:lang w:val="en-US" w:eastAsia="en-US"/>
              </w:rPr>
              <w:t>到2025年，</w:t>
            </w:r>
            <w:r>
              <w:rPr>
                <w:rFonts w:hint="eastAsia" w:ascii="仿宋_GB2312" w:hAnsi="仿宋_GB2312" w:eastAsia="仿宋_GB2312" w:cs="仿宋_GB2312"/>
                <w:color w:val="auto"/>
                <w:sz w:val="24"/>
                <w:szCs w:val="24"/>
                <w:lang w:val="en-US" w:eastAsia="zh-CN"/>
              </w:rPr>
              <w:t>中等</w:t>
            </w:r>
            <w:r>
              <w:rPr>
                <w:rFonts w:hint="eastAsia" w:ascii="仿宋_GB2312" w:hAnsi="仿宋_GB2312" w:eastAsia="仿宋_GB2312" w:cs="仿宋_GB2312"/>
                <w:color w:val="auto"/>
                <w:sz w:val="24"/>
                <w:szCs w:val="24"/>
                <w:lang w:val="en-US" w:eastAsia="en-US"/>
              </w:rPr>
              <w:t>职业教育类型特色更加鲜明，现代职业教育体系基本建成，技能型社会建设全面推进。办学格局更加优化，办学条件大幅改善，所有学校办学条件达到《中等职业学校设置标准》和《中等职业学校建设标准》（</w:t>
            </w:r>
            <w:r>
              <w:rPr>
                <w:rFonts w:hint="eastAsia" w:ascii="仿宋_GB2312" w:hAnsi="仿宋_GB2312" w:eastAsia="仿宋_GB2312" w:cs="仿宋_GB2312"/>
                <w:color w:val="auto"/>
                <w:sz w:val="24"/>
                <w:szCs w:val="24"/>
                <w:shd w:val="clear" w:color="auto" w:fill="auto"/>
                <w:lang w:val="en-US" w:eastAsia="en-US"/>
              </w:rPr>
              <w:t>建标</w:t>
            </w:r>
            <w:r>
              <w:rPr>
                <w:rFonts w:hint="eastAsia" w:ascii="仿宋_GB2312" w:hAnsi="仿宋_GB2312" w:eastAsia="仿宋_GB2312" w:cs="仿宋_GB2312"/>
                <w:color w:val="auto"/>
                <w:sz w:val="24"/>
                <w:szCs w:val="24"/>
                <w:lang w:val="en-US" w:eastAsia="en-US"/>
              </w:rPr>
              <w:t>192-2018）</w:t>
            </w:r>
            <w:r>
              <w:rPr>
                <w:rFonts w:hint="eastAsia" w:ascii="仿宋_GB2312" w:hAnsi="仿宋_GB2312" w:eastAsia="仿宋_GB2312" w:cs="仿宋_GB2312"/>
                <w:color w:val="auto"/>
                <w:sz w:val="24"/>
                <w:szCs w:val="24"/>
                <w:lang w:val="en-US" w:eastAsia="zh-CN"/>
              </w:rPr>
              <w:t>，全部中职学校（不含技工）通过省“重点”中职学校的评估</w:t>
            </w:r>
            <w:r>
              <w:rPr>
                <w:rFonts w:hint="eastAsia" w:ascii="仿宋_GB2312" w:hAnsi="仿宋_GB2312" w:eastAsia="仿宋_GB2312" w:cs="仿宋_GB2312"/>
                <w:color w:val="auto"/>
                <w:sz w:val="24"/>
                <w:szCs w:val="24"/>
                <w:lang w:val="en-US" w:eastAsia="en-US"/>
              </w:rPr>
              <w:t>。</w:t>
            </w:r>
          </w:p>
        </w:tc>
      </w:tr>
    </w:tbl>
    <w:p>
      <w:pPr>
        <w:pStyle w:val="4"/>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cs="黑体"/>
          <w:b w:val="0"/>
          <w:bCs w:val="0"/>
          <w:color w:val="auto"/>
          <w:kern w:val="0"/>
        </w:rPr>
      </w:pPr>
      <w:bookmarkStart w:id="60" w:name="_Toc604735316_WPSOffice_Level2"/>
      <w:bookmarkStart w:id="61" w:name="_Toc2085872357_WPSOffice_Level2"/>
      <w:bookmarkStart w:id="62" w:name="_Toc98694808"/>
      <w:r>
        <w:rPr>
          <w:rFonts w:hint="eastAsia" w:ascii="黑体" w:hAnsi="黑体" w:eastAsia="黑体" w:cs="黑体"/>
          <w:b w:val="0"/>
          <w:bCs w:val="0"/>
          <w:color w:val="auto"/>
          <w:kern w:val="0"/>
        </w:rPr>
        <w:t>第四节 提升高等教育内涵发展水平</w:t>
      </w:r>
      <w:bookmarkEnd w:id="60"/>
      <w:bookmarkEnd w:id="61"/>
      <w:bookmarkEnd w:id="62"/>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以省高等教育“</w:t>
      </w:r>
      <w:r>
        <w:rPr>
          <w:rFonts w:hint="eastAsia" w:ascii="仿宋_GB2312" w:hAnsi="仿宋_GB2312" w:eastAsia="仿宋_GB2312" w:cs="仿宋_GB2312"/>
          <w:color w:val="auto"/>
          <w:sz w:val="32"/>
          <w:szCs w:val="32"/>
          <w:shd w:val="clear" w:color="auto" w:fill="auto"/>
        </w:rPr>
        <w:t>冲</w:t>
      </w:r>
      <w:r>
        <w:rPr>
          <w:rFonts w:hint="eastAsia" w:ascii="仿宋_GB2312" w:hAnsi="仿宋_GB2312" w:eastAsia="仿宋_GB2312" w:cs="仿宋_GB2312"/>
          <w:color w:val="auto"/>
          <w:sz w:val="32"/>
          <w:szCs w:val="32"/>
        </w:rPr>
        <w:t>一流、补短板、强特色”提升计划为引领，落实“粤东西北高校振兴计划”，完成“两本</w:t>
      </w:r>
      <w:r>
        <w:rPr>
          <w:rFonts w:hint="eastAsia" w:ascii="仿宋_GB2312" w:hAnsi="仿宋_GB2312" w:eastAsia="仿宋_GB2312" w:cs="仿宋_GB2312"/>
          <w:color w:val="auto"/>
          <w:sz w:val="32"/>
          <w:szCs w:val="32"/>
          <w:shd w:val="clear" w:color="auto" w:fill="auto"/>
        </w:rPr>
        <w:t>四专</w:t>
      </w:r>
      <w:r>
        <w:rPr>
          <w:rFonts w:hint="eastAsia" w:ascii="仿宋_GB2312" w:hAnsi="仿宋_GB2312" w:eastAsia="仿宋_GB2312" w:cs="仿宋_GB2312"/>
          <w:color w:val="auto"/>
          <w:sz w:val="32"/>
          <w:szCs w:val="32"/>
        </w:rPr>
        <w:t>”高校“十四五”建设项目，着力改善高校办学条件，加强高校特色发展、重大科研平台、高水平师资队伍建设，不断提升高校办学综合实力和内部治理水平，推动我市“两本</w:t>
      </w:r>
      <w:r>
        <w:rPr>
          <w:rFonts w:hint="eastAsia" w:ascii="仿宋_GB2312" w:hAnsi="仿宋_GB2312" w:eastAsia="仿宋_GB2312" w:cs="仿宋_GB2312"/>
          <w:color w:val="auto"/>
          <w:sz w:val="32"/>
          <w:szCs w:val="32"/>
          <w:shd w:val="clear" w:color="auto" w:fill="auto"/>
        </w:rPr>
        <w:t>四专</w:t>
      </w:r>
      <w:r>
        <w:rPr>
          <w:rFonts w:hint="eastAsia" w:ascii="仿宋_GB2312" w:hAnsi="仿宋_GB2312" w:eastAsia="仿宋_GB2312" w:cs="仿宋_GB2312"/>
          <w:color w:val="auto"/>
          <w:sz w:val="32"/>
          <w:szCs w:val="32"/>
        </w:rPr>
        <w:t>”高等教育“达标提质上层次”内涵发展。支持广东石油化工学院全面推进高水平理工科大学建设，重点支持其特色优势学科、重大科研平台、高水平师资队伍建设，争取进入广东省“高水平大学重点学科建设高校”。加快建设更多学科进入ESI</w:t>
      </w:r>
      <w:r>
        <w:rPr>
          <w:rStyle w:val="11"/>
          <w:rFonts w:hint="eastAsia" w:ascii="仿宋_GB2312" w:hAnsi="仿宋_GB2312" w:eastAsia="仿宋_GB2312" w:cs="仿宋_GB2312"/>
          <w:color w:val="auto"/>
          <w:sz w:val="32"/>
          <w:szCs w:val="32"/>
        </w:rPr>
        <w:footnoteReference w:id="5"/>
      </w:r>
      <w:r>
        <w:rPr>
          <w:rFonts w:hint="eastAsia" w:ascii="仿宋_GB2312" w:hAnsi="仿宋_GB2312" w:eastAsia="仿宋_GB2312" w:cs="仿宋_GB2312"/>
          <w:color w:val="auto"/>
          <w:sz w:val="32"/>
          <w:szCs w:val="32"/>
        </w:rPr>
        <w:t>全球排名前1%，加强一流本科人才培养，提高研究生培养质量。统筹使用高等学校各类平台资源，形成高等教育反哺基础教育、师范院校引领支持中小学校、师范生融入教师职后发展体系的融合发展新格局，实现各类教育共同高质量发展。</w:t>
      </w:r>
    </w:p>
    <w:p>
      <w:pPr>
        <w:keepNext w:val="0"/>
        <w:keepLines w:val="0"/>
        <w:pageBreakBefore w:val="0"/>
        <w:widowControl w:val="0"/>
        <w:kinsoku/>
        <w:wordWrap/>
        <w:overflowPunct/>
        <w:topLinePunct w:val="0"/>
        <w:autoSpaceDE/>
        <w:autoSpaceDN/>
        <w:bidi w:val="0"/>
        <w:adjustRightInd/>
        <w:snapToGrid/>
        <w:spacing w:after="156" w:afterLines="5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调整优化学科专业结构，建立与经济社会发展格局相匹配、优势特色鲜明的学科专业体系，聚焦高质量高水平，聚焦服务产业、优势特色产业和区域经济社会发展，推进“两本</w:t>
      </w:r>
      <w:r>
        <w:rPr>
          <w:rFonts w:hint="eastAsia" w:ascii="仿宋_GB2312" w:hAnsi="仿宋_GB2312" w:eastAsia="仿宋_GB2312" w:cs="仿宋_GB2312"/>
          <w:color w:val="auto"/>
          <w:sz w:val="32"/>
          <w:szCs w:val="32"/>
          <w:highlight w:val="none"/>
          <w:shd w:val="clear" w:color="auto" w:fill="auto"/>
          <w:lang w:val="en-US" w:eastAsia="zh-CN"/>
        </w:rPr>
        <w:t>四专</w:t>
      </w:r>
      <w:r>
        <w:rPr>
          <w:rFonts w:hint="eastAsia" w:ascii="仿宋_GB2312" w:hAnsi="仿宋_GB2312" w:eastAsia="仿宋_GB2312" w:cs="仿宋_GB2312"/>
          <w:color w:val="auto"/>
          <w:sz w:val="32"/>
          <w:szCs w:val="32"/>
          <w:highlight w:val="none"/>
          <w:lang w:val="en-US" w:eastAsia="zh-CN"/>
        </w:rPr>
        <w:t>”高校重点围绕化学工程与技术、石油与天然气工程、食品科学与工程（广东石油化工学院），旅游管理（广州科技职业技术大学滨海校区），农业工程、林业工程（广东茂名农林科技职业学院），护理、现代家政服务与管理（广东茂名健康职业学院），师范教育、学前教育（广东茂名幼儿师范专科学校），茂名职业技术学院6个专业群（石油化工技术专业群、建设工程管理专业群、电子自动化专业群、食品检验检测技术专业群、电子商务专业群、计算机应用技术专业群）等学科专业领域引进和培育高层次人才，打造一批支撑我市绿色石化等产业及区域经济社会发展的重点学科专业，形成与广东沿海经济带和茂名区域产业发展相适应的专业结构布局，服务沿海经济带地区承接重大产业。</w:t>
      </w:r>
      <w:r>
        <w:rPr>
          <w:rFonts w:hint="eastAsia" w:ascii="仿宋_GB2312" w:hAnsi="仿宋_GB2312" w:eastAsia="仿宋_GB2312" w:cs="仿宋_GB2312"/>
          <w:color w:val="auto"/>
          <w:kern w:val="0"/>
          <w:sz w:val="32"/>
          <w:szCs w:val="32"/>
          <w:lang w:val="en-US" w:eastAsia="en-US"/>
        </w:rPr>
        <w:t>加强师范院校建设和普通高等医学教育临床教学基地建设</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en-US"/>
        </w:rPr>
        <w:t>推进建设10个左右市级示范性教师教育实践基地。</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widowControl/>
              <w:spacing w:line="400" w:lineRule="exact"/>
              <w:jc w:val="center"/>
              <w:rPr>
                <w:rFonts w:hint="eastAsia" w:ascii="仿宋_GB2312" w:hAnsi="仿宋_GB2312" w:eastAsia="仿宋_GB2312" w:cs="仿宋_GB2312"/>
                <w:b/>
                <w:bCs/>
                <w:color w:val="auto"/>
                <w:sz w:val="24"/>
                <w:szCs w:val="24"/>
                <w:lang w:eastAsia="en-US"/>
              </w:rPr>
            </w:pPr>
            <w:r>
              <w:rPr>
                <w:rFonts w:hint="eastAsia" w:ascii="仿宋_GB2312" w:hAnsi="仿宋_GB2312" w:eastAsia="仿宋_GB2312" w:cs="仿宋_GB2312"/>
                <w:b/>
                <w:bCs/>
                <w:color w:val="auto"/>
                <w:sz w:val="28"/>
                <w:szCs w:val="28"/>
                <w:lang w:eastAsia="en-US"/>
              </w:rPr>
              <w:t>专栏1</w:t>
            </w:r>
            <w:r>
              <w:rPr>
                <w:rFonts w:hint="eastAsia" w:ascii="仿宋_GB2312" w:hAnsi="仿宋_GB2312" w:eastAsia="仿宋_GB2312" w:cs="仿宋_GB2312"/>
                <w:b/>
                <w:bCs/>
                <w:color w:val="auto"/>
                <w:sz w:val="28"/>
                <w:szCs w:val="28"/>
                <w:lang w:val="en-US" w:eastAsia="zh-CN"/>
              </w:rPr>
              <w:t>3</w:t>
            </w:r>
            <w:r>
              <w:rPr>
                <w:rFonts w:hint="eastAsia" w:ascii="仿宋_GB2312" w:hAnsi="仿宋_GB2312" w:eastAsia="仿宋_GB2312" w:cs="仿宋_GB2312"/>
                <w:b/>
                <w:bCs/>
                <w:color w:val="auto"/>
                <w:sz w:val="28"/>
                <w:szCs w:val="28"/>
                <w:lang w:eastAsia="en-US"/>
              </w:rPr>
              <w:t xml:space="preserve"> </w:t>
            </w:r>
            <w:r>
              <w:rPr>
                <w:rFonts w:hint="eastAsia" w:ascii="仿宋_GB2312" w:hAnsi="仿宋_GB2312" w:eastAsia="仿宋_GB2312" w:cs="仿宋_GB2312"/>
                <w:b/>
                <w:color w:val="auto"/>
                <w:kern w:val="0"/>
                <w:sz w:val="28"/>
                <w:szCs w:val="28"/>
                <w:lang w:eastAsia="en-US"/>
              </w:rPr>
              <w:t>高等教育提升计划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kern w:val="0"/>
                <w:sz w:val="24"/>
                <w:szCs w:val="24"/>
                <w:lang w:eastAsia="en-US"/>
              </w:rPr>
              <w:t>推进高校振兴。</w:t>
            </w:r>
            <w:r>
              <w:rPr>
                <w:rFonts w:hint="eastAsia" w:ascii="仿宋_GB2312" w:hAnsi="仿宋_GB2312" w:eastAsia="仿宋_GB2312" w:cs="仿宋_GB2312"/>
                <w:color w:val="auto"/>
                <w:kern w:val="0"/>
                <w:sz w:val="24"/>
                <w:szCs w:val="24"/>
                <w:lang w:eastAsia="en-US"/>
              </w:rPr>
              <w:t>打造一批支撑</w:t>
            </w:r>
            <w:r>
              <w:rPr>
                <w:rFonts w:hint="eastAsia" w:ascii="仿宋_GB2312" w:hAnsi="仿宋_GB2312" w:eastAsia="仿宋_GB2312" w:cs="仿宋_GB2312"/>
                <w:color w:val="auto"/>
                <w:kern w:val="0"/>
                <w:sz w:val="24"/>
                <w:szCs w:val="24"/>
                <w:lang w:eastAsia="zh-CN"/>
              </w:rPr>
              <w:t>我市</w:t>
            </w:r>
            <w:r>
              <w:rPr>
                <w:rFonts w:hint="eastAsia" w:ascii="仿宋_GB2312" w:hAnsi="仿宋_GB2312" w:eastAsia="仿宋_GB2312" w:cs="仿宋_GB2312"/>
                <w:color w:val="auto"/>
                <w:kern w:val="0"/>
                <w:sz w:val="24"/>
                <w:szCs w:val="24"/>
                <w:lang w:eastAsia="en-US"/>
              </w:rPr>
              <w:t>产业发展的学科专业，到2025年，</w:t>
            </w:r>
            <w:r>
              <w:rPr>
                <w:rFonts w:hint="eastAsia" w:ascii="仿宋_GB2312" w:hAnsi="仿宋_GB2312" w:eastAsia="仿宋_GB2312" w:cs="仿宋_GB2312"/>
                <w:color w:val="auto"/>
                <w:kern w:val="0"/>
                <w:sz w:val="24"/>
                <w:szCs w:val="24"/>
                <w:lang w:eastAsia="zh-CN"/>
              </w:rPr>
              <w:t>我</w:t>
            </w:r>
            <w:r>
              <w:rPr>
                <w:rFonts w:hint="eastAsia" w:ascii="仿宋_GB2312" w:hAnsi="仿宋_GB2312" w:eastAsia="仿宋_GB2312" w:cs="仿宋_GB2312"/>
                <w:color w:val="auto"/>
                <w:kern w:val="0"/>
                <w:sz w:val="24"/>
                <w:szCs w:val="24"/>
                <w:lang w:eastAsia="en-US"/>
              </w:rPr>
              <w:t>市高校办学条件和整体实力进一步提升，服务当地经济社会发展的能力进一步增强，省部级以上科研创新平台、签订技术转让合同的数量和金额较“十三五”时期有增长。</w:t>
            </w:r>
          </w:p>
        </w:tc>
      </w:tr>
    </w:tbl>
    <w:p>
      <w:pPr>
        <w:pStyle w:val="4"/>
        <w:keepNext/>
        <w:keepLines/>
        <w:pageBreakBefore w:val="0"/>
        <w:widowControl w:val="0"/>
        <w:kinsoku/>
        <w:wordWrap/>
        <w:overflowPunct/>
        <w:topLinePunct w:val="0"/>
        <w:autoSpaceDE/>
        <w:autoSpaceDN/>
        <w:bidi w:val="0"/>
        <w:adjustRightInd/>
        <w:snapToGrid/>
        <w:spacing w:before="156" w:beforeLines="50" w:after="156" w:afterLines="50" w:line="580" w:lineRule="exact"/>
        <w:jc w:val="center"/>
        <w:textAlignment w:val="auto"/>
        <w:rPr>
          <w:rFonts w:ascii="黑体" w:hAnsi="黑体" w:eastAsia="黑体" w:cs="黑体"/>
          <w:b w:val="0"/>
          <w:bCs w:val="0"/>
          <w:color w:val="auto"/>
          <w:kern w:val="0"/>
        </w:rPr>
      </w:pPr>
      <w:bookmarkStart w:id="63" w:name="_Toc91677588_WPSOffice_Level2"/>
      <w:bookmarkStart w:id="64" w:name="_Toc98694809"/>
      <w:bookmarkStart w:id="65" w:name="_Toc989409008_WPSOffice_Level2"/>
      <w:r>
        <w:rPr>
          <w:rFonts w:hint="eastAsia" w:ascii="黑体" w:hAnsi="黑体" w:eastAsia="黑体" w:cs="黑体"/>
          <w:b w:val="0"/>
          <w:bCs w:val="0"/>
          <w:color w:val="auto"/>
          <w:kern w:val="0"/>
        </w:rPr>
        <w:t>第五节 提升教育人才队伍素质</w:t>
      </w:r>
      <w:bookmarkEnd w:id="63"/>
      <w:bookmarkEnd w:id="64"/>
      <w:bookmarkEnd w:id="65"/>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rPr>
      </w:pPr>
      <w:bookmarkStart w:id="66" w:name="_Toc369294417_WPSOffice_Level2"/>
      <w:bookmarkStart w:id="67" w:name="_Toc98693830"/>
      <w:r>
        <w:rPr>
          <w:rFonts w:hint="eastAsia" w:ascii="仿宋_GB2312" w:hAnsi="仿宋_GB2312" w:eastAsia="仿宋_GB2312" w:cs="仿宋_GB2312"/>
          <w:b/>
          <w:bCs/>
          <w:color w:val="auto"/>
          <w:sz w:val="32"/>
          <w:szCs w:val="32"/>
        </w:rPr>
        <w:t>加强和改进师德师风建设</w:t>
      </w:r>
      <w:bookmarkEnd w:id="66"/>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加强教师队伍思想政治工作。配齐建强中小学思想政治理论课教师队伍。严把教师选拔聘用入口关，将思想政治素质和业务能力双重考察落到实处。引导教师用习近平新时代中国特色社会主义思想武装头脑，带头践行社会主义核心价值观，树立政治强、情怀深、思维新、视野广、自律严、人格正的价值取向。倡导教师严慈相济、诲人不倦、因材施教。倡导教师关心关爱、严格要求、公平公正对待学生，做学生的良师益友。建强教师党支部，健全“双带头人”和“双培养”</w:t>
      </w:r>
      <w:r>
        <w:rPr>
          <w:rStyle w:val="11"/>
          <w:rFonts w:hint="eastAsia" w:ascii="仿宋_GB2312" w:hAnsi="仿宋_GB2312" w:eastAsia="仿宋_GB2312" w:cs="仿宋_GB2312"/>
          <w:color w:val="auto"/>
          <w:sz w:val="32"/>
          <w:szCs w:val="32"/>
        </w:rPr>
        <w:footnoteReference w:id="6"/>
      </w:r>
      <w:r>
        <w:rPr>
          <w:rFonts w:hint="eastAsia" w:ascii="仿宋_GB2312" w:hAnsi="仿宋_GB2312" w:eastAsia="仿宋_GB2312" w:cs="仿宋_GB2312"/>
          <w:color w:val="auto"/>
          <w:sz w:val="32"/>
          <w:szCs w:val="32"/>
        </w:rPr>
        <w:t>机制，市县实施“双带头人”全员轮训。加强师德教育。以学习践行新时代教师职业行为准则为重点，推动师德师风建设常态化、长效化、全覆盖，突出全员、全方位、全过程师德师风养成。引导教师自觉依法执教、规范执教，将立德树人放在首要位置，融入渗透到教育教学全过程。拓展师德教育载体，创新师德教育方式，将师德教育课程作为在校师范生学习、在职教师继续教育的必修课程，加强教师职业理想、职业道德、行为准则、法治和心理健康教育。遴选师德建设典型案例，开展师德标兵、师德征文等评选活动，选树和表彰先进典型，持续加强对优秀师德典型的宣传报道，充分发挥典型引领示范和辐射带动作用。全市每年9月组织开展师德建设主题教育月活动。建立完善师德建设工作长效机制。坚持把思想政治和师德师风建设摆在教师队伍建设的首位，把师德表现作为教师资格认定、选聘录用、考核评价、职称评聘、评优评先、定期注册的首要内容。完善师德师风监督机制，健全多元监督体系。坚持</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rPr>
        <w:t>“零容忍”</w:t>
      </w:r>
      <w:r>
        <w:rPr>
          <w:rFonts w:hint="eastAsia" w:ascii="仿宋_GB2312" w:hAnsi="仿宋_GB2312" w:eastAsia="仿宋_GB2312" w:cs="仿宋_GB2312"/>
          <w:color w:val="auto"/>
          <w:sz w:val="32"/>
          <w:szCs w:val="32"/>
          <w:lang w:val="en-US" w:eastAsia="zh-CN"/>
        </w:rPr>
        <w:t>的态度，依法依规严肃查处</w:t>
      </w:r>
      <w:r>
        <w:rPr>
          <w:rFonts w:hint="eastAsia" w:ascii="仿宋_GB2312" w:hAnsi="仿宋_GB2312" w:eastAsia="仿宋_GB2312" w:cs="仿宋_GB2312"/>
          <w:color w:val="auto"/>
          <w:sz w:val="32"/>
          <w:szCs w:val="32"/>
        </w:rPr>
        <w:t>师德违规行为</w:t>
      </w:r>
      <w:r>
        <w:rPr>
          <w:rFonts w:hint="eastAsia" w:ascii="仿宋_GB2312" w:hAnsi="仿宋_GB2312" w:eastAsia="仿宋_GB2312" w:cs="仿宋_GB2312"/>
          <w:color w:val="auto"/>
          <w:sz w:val="32"/>
          <w:szCs w:val="32"/>
          <w:lang w:eastAsia="zh-CN"/>
        </w:rPr>
        <w:t>，对于</w:t>
      </w:r>
      <w:r>
        <w:rPr>
          <w:rFonts w:hint="eastAsia" w:ascii="仿宋_GB2312" w:hAnsi="仿宋_GB2312" w:eastAsia="仿宋_GB2312" w:cs="仿宋_GB2312"/>
          <w:color w:val="auto"/>
          <w:sz w:val="32"/>
          <w:szCs w:val="32"/>
        </w:rPr>
        <w:t>情节严重的依法撤销教师资格，坚决清除出教师队伍。建立集中通报制度，持续抓好违反教师职业行为准则典型案例通报。建立师德工作报告制度，中小学和各级教育行政部门要落实抓师德建设主体责任，每半年向上级教育行政部门报告师德失范问题查处情况，每年报告一次师德工作情况。</w:t>
      </w:r>
      <w:bookmarkEnd w:id="67"/>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整体提高教师队伍素质。</w:t>
      </w:r>
      <w:r>
        <w:rPr>
          <w:rFonts w:hint="eastAsia" w:ascii="仿宋_GB2312" w:hAnsi="仿宋_GB2312" w:eastAsia="仿宋_GB2312" w:cs="仿宋_GB2312"/>
          <w:color w:val="auto"/>
          <w:sz w:val="32"/>
          <w:szCs w:val="32"/>
        </w:rPr>
        <w:t>加强骨干教师队伍培育，持续实施名校长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名班主任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名教师培养工程，各地各中小学要按照教师队伍总数10%的比例培养本地本校骨干教师，持续发挥市级“三名”（名校长、名班主任、名教师）、师德标兵</w:t>
      </w:r>
      <w:r>
        <w:rPr>
          <w:rFonts w:hint="eastAsia" w:ascii="仿宋_GB2312" w:hAnsi="仿宋_GB2312" w:eastAsia="仿宋_GB2312" w:cs="仿宋_GB2312"/>
          <w:color w:val="auto"/>
          <w:sz w:val="32"/>
          <w:szCs w:val="32"/>
          <w:lang w:eastAsia="zh-CN"/>
        </w:rPr>
        <w:t>及</w:t>
      </w:r>
      <w:r>
        <w:rPr>
          <w:rFonts w:hint="eastAsia" w:ascii="仿宋_GB2312" w:hAnsi="仿宋_GB2312" w:eastAsia="仿宋_GB2312" w:cs="仿宋_GB2312"/>
          <w:color w:val="auto"/>
          <w:sz w:val="32"/>
          <w:szCs w:val="32"/>
        </w:rPr>
        <w:t>省名教师工作室主持人、特级教师和先进集体（个人）等高端教育人才（团队）示范引领和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传帮带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辐射作用。加强中小学教师培训制度，支持中小学校根据实际开展校本培训，重点提升教师教学技能和课程实施能力；开展乡村教师专项培训；落实中小学教师公费定向培养计划，支持教师通过网络教育、脱产学习、在职进修等多种方式提高学历层次。允许中职学校通过直接考试（考察）、直接面试、技能测试等方式，从具备3年以上行业企业工作经历的人员中择优引进企业高技能人才，并根据实际情况适当放宽年龄、学历要求。加强乡村薄弱学校师资队伍建设，引导城镇优秀校长和骨干教师向乡村学校流动，各类人才项目、职称评聘、管理职业等级晋升、表彰奖励等向长期在乡村任教的优秀教师倾斜，城区学校不得到县域普通高中抢挖优秀教师。加强市县镇村四级优秀校长和骨干教师的教学协作交流，探索在城乡融合发展省级试点实行市县教育人才到镇村挂职、镇村教师到市县跟班学习、镇教育人才到村挂职、村教师到镇跟班学习的机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建设高水平教研队伍。</w:t>
      </w:r>
      <w:r>
        <w:rPr>
          <w:rFonts w:hint="eastAsia" w:ascii="仿宋_GB2312" w:hAnsi="仿宋_GB2312" w:eastAsia="仿宋_GB2312" w:cs="仿宋_GB2312"/>
          <w:color w:val="auto"/>
          <w:sz w:val="32"/>
          <w:szCs w:val="32"/>
        </w:rPr>
        <w:t>按照国家课程方案要求配齐配强专职教研员队伍，建立健全市县</w:t>
      </w:r>
      <w:r>
        <w:rPr>
          <w:rFonts w:hint="eastAsia" w:ascii="仿宋_GB2312" w:hAnsi="仿宋_GB2312" w:eastAsia="仿宋_GB2312" w:cs="仿宋_GB2312"/>
          <w:color w:val="auto"/>
          <w:sz w:val="32"/>
          <w:szCs w:val="32"/>
          <w:shd w:val="clear" w:color="auto" w:fill="auto"/>
        </w:rPr>
        <w:t>校</w:t>
      </w:r>
      <w:r>
        <w:rPr>
          <w:rFonts w:hint="eastAsia" w:ascii="仿宋_GB2312" w:hAnsi="仿宋_GB2312" w:eastAsia="仿宋_GB2312" w:cs="仿宋_GB2312"/>
          <w:color w:val="auto"/>
          <w:sz w:val="32"/>
          <w:szCs w:val="32"/>
        </w:rPr>
        <w:t>三级教研联动机制。市、</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两级教研机构依照国家课程方案按学段（高中、初中、小学）配齐配强所有学科（</w:t>
      </w:r>
      <w:r>
        <w:rPr>
          <w:rFonts w:hint="eastAsia" w:ascii="仿宋_GB2312" w:hAnsi="仿宋_GB2312" w:eastAsia="仿宋_GB2312" w:cs="仿宋_GB2312"/>
          <w:color w:val="auto"/>
          <w:sz w:val="32"/>
          <w:szCs w:val="32"/>
          <w:shd w:val="clear" w:color="auto" w:fill="auto"/>
        </w:rPr>
        <w:t>含</w:t>
      </w:r>
      <w:r>
        <w:rPr>
          <w:rFonts w:hint="eastAsia" w:ascii="仿宋_GB2312" w:hAnsi="仿宋_GB2312" w:eastAsia="仿宋_GB2312" w:cs="仿宋_GB2312"/>
          <w:color w:val="auto"/>
          <w:sz w:val="32"/>
          <w:szCs w:val="32"/>
        </w:rPr>
        <w:t>学前教育、特殊教育、心理健康教育、劳动技术教育等专门教育）专职教研员，市、</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两级教研室专职教研员要达到43人以上。严格教研员准入制度，创新教研员招聘制度，新任专职教研员原则上应有6年以上教学工作经历、具有高级以上教师职称或研究生学历。统筹考虑区域教育特色、学科专任教师数量和学校（教学点）数量，配备学科专职教研员，鼓励从一线优秀教师中选拔专职教研员。强化教研员工作职责，聚焦提高课堂教学质量，强化教学改革研究与课堂教学指导。强化教研员考核评价，在各类评优评先表彰活动中保障教研员与教师同等地位待遇。建立健全“教研</w:t>
      </w:r>
      <w:r>
        <w:rPr>
          <w:rFonts w:hint="eastAsia" w:ascii="仿宋_GB2312" w:hAnsi="仿宋_GB2312" w:eastAsia="仿宋_GB2312" w:cs="仿宋_GB2312"/>
          <w:color w:val="auto"/>
          <w:sz w:val="32"/>
          <w:szCs w:val="32"/>
          <w:shd w:val="clear" w:color="auto" w:fill="auto"/>
        </w:rPr>
        <w:t>训</w:t>
      </w:r>
      <w:r>
        <w:rPr>
          <w:rFonts w:hint="eastAsia" w:ascii="仿宋_GB2312" w:hAnsi="仿宋_GB2312" w:eastAsia="仿宋_GB2312" w:cs="仿宋_GB2312"/>
          <w:color w:val="auto"/>
          <w:sz w:val="32"/>
          <w:szCs w:val="32"/>
        </w:rPr>
        <w:t>一体化”教研员能力提升研修体系，提高教研员研究、指导和服务教育教学改革发展和教师专业成长的能力。加强教研领军人才和团队建设，推进教研基地建设，促进教师培训与教研活动相融合。支持教研员参加国内外教研交流与合作。建立教师发展机构定点联系学校制度和教研员定期到中小学任教制度，教研员在岗工作满5年后，原则上要到中小学校从事1年以上教育教学工作。建立优秀教研员到教育行政部门任职或担任中小学（幼儿园）负责人的“旋转门”制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加强民办学校人才队伍建设保障。</w:t>
      </w:r>
      <w:r>
        <w:rPr>
          <w:rFonts w:hint="eastAsia" w:ascii="仿宋_GB2312" w:hAnsi="仿宋_GB2312" w:eastAsia="仿宋_GB2312" w:cs="仿宋_GB2312"/>
          <w:color w:val="auto"/>
          <w:sz w:val="32"/>
          <w:szCs w:val="32"/>
        </w:rPr>
        <w:t>完善学校、个人、政府合理分担的民办学校教师社会保障机制，民办学校与教师依法签订合同，按时足额支付教师工资，为教师足额缴纳社会保险费和住房公积金，在学费收入中安排一定比例用于教师培训。鼓励民办学校建立补充养老保险制度，提高教师退休待遇。依法保障和落实民办学校教师在业务培训、职称评审、职务聘任、教龄和工龄计算、表彰奖励、科研立项等方面享有与公办学校教师同等权利，民办学校教师</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完成每年度继续教育培训学时</w:t>
      </w:r>
      <w:r>
        <w:rPr>
          <w:rFonts w:hint="eastAsia" w:ascii="仿宋_GB2312" w:hAnsi="仿宋_GB2312" w:eastAsia="仿宋_GB2312" w:cs="仿宋_GB2312"/>
          <w:color w:val="auto"/>
          <w:sz w:val="32"/>
          <w:szCs w:val="32"/>
          <w:lang w:eastAsia="zh-CN"/>
        </w:rPr>
        <w:t>后</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力争</w:t>
      </w:r>
      <w:r>
        <w:rPr>
          <w:rFonts w:hint="eastAsia" w:ascii="仿宋_GB2312" w:hAnsi="仿宋_GB2312" w:eastAsia="仿宋_GB2312" w:cs="仿宋_GB2312"/>
          <w:color w:val="auto"/>
          <w:sz w:val="32"/>
          <w:szCs w:val="32"/>
        </w:rPr>
        <w:t>普遍具有教师职称。完善民办学校教师考核评价机制，突出能力和实绩导向。引导民办学校建立教师收入与收费标准、办学效益相适应的动态调整机制，合理提高人员经费在办学支出中的比例，逐年提高教师工资水平。将民办学校教师培训统一纳入全市教师培训体系，加强民办学校骨干教师培训力度，到2023年底，民办中小学、幼儿园教师参加县级以上骨干教师培训的比例不低于区域内民办学校在校生（在园幼儿）占全体在校生（在园幼儿）比例的50%。</w:t>
      </w:r>
    </w:p>
    <w:p>
      <w:pPr>
        <w:keepNext w:val="0"/>
        <w:keepLines w:val="0"/>
        <w:pageBreakBefore w:val="0"/>
        <w:widowControl w:val="0"/>
        <w:kinsoku/>
        <w:wordWrap/>
        <w:overflowPunct/>
        <w:topLinePunct w:val="0"/>
        <w:autoSpaceDE/>
        <w:autoSpaceDN/>
        <w:bidi w:val="0"/>
        <w:adjustRightInd/>
        <w:snapToGrid/>
        <w:spacing w:after="156" w:afterLines="5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强化教育管理人才队伍建设。</w:t>
      </w:r>
      <w:r>
        <w:rPr>
          <w:rFonts w:hint="eastAsia" w:ascii="仿宋_GB2312" w:hAnsi="仿宋_GB2312" w:eastAsia="仿宋_GB2312" w:cs="仿宋_GB2312"/>
          <w:color w:val="auto"/>
          <w:sz w:val="32"/>
          <w:szCs w:val="32"/>
        </w:rPr>
        <w:t>选优配强</w:t>
      </w:r>
      <w:r>
        <w:rPr>
          <w:rFonts w:hint="eastAsia" w:ascii="仿宋_GB2312" w:hAnsi="仿宋_GB2312" w:eastAsia="仿宋_GB2312" w:cs="仿宋_GB2312"/>
          <w:color w:val="auto"/>
          <w:sz w:val="32"/>
          <w:szCs w:val="32"/>
          <w:shd w:val="clear" w:color="auto" w:fill="auto"/>
          <w:lang w:eastAsia="zh-CN"/>
        </w:rPr>
        <w:t>教育</w:t>
      </w:r>
      <w:r>
        <w:rPr>
          <w:rFonts w:hint="eastAsia" w:ascii="仿宋_GB2312" w:hAnsi="仿宋_GB2312" w:eastAsia="仿宋_GB2312" w:cs="仿宋_GB2312"/>
          <w:color w:val="auto"/>
          <w:sz w:val="32"/>
          <w:szCs w:val="32"/>
          <w:shd w:val="clear" w:color="auto" w:fill="auto"/>
        </w:rPr>
        <w:t>局长</w:t>
      </w:r>
      <w:r>
        <w:rPr>
          <w:rFonts w:hint="eastAsia" w:ascii="仿宋_GB2312" w:hAnsi="仿宋_GB2312" w:eastAsia="仿宋_GB2312" w:cs="仿宋_GB2312"/>
          <w:color w:val="auto"/>
          <w:sz w:val="32"/>
          <w:szCs w:val="32"/>
          <w:shd w:val="clear" w:color="auto" w:fill="auto"/>
          <w:lang w:eastAsia="zh-CN"/>
        </w:rPr>
        <w:t>和</w:t>
      </w:r>
      <w:r>
        <w:rPr>
          <w:rFonts w:hint="eastAsia" w:ascii="仿宋_GB2312" w:hAnsi="仿宋_GB2312" w:eastAsia="仿宋_GB2312" w:cs="仿宋_GB2312"/>
          <w:color w:val="auto"/>
          <w:sz w:val="32"/>
          <w:szCs w:val="32"/>
        </w:rPr>
        <w:t>校长，切实让懂教育的行家里手管教育、抓教育，不断提升教育系统干部队伍的发展领导力和办学治校能力。强化教育局长培养培训，不断提升其政治素养、业务能力和工作水平。落实教育行政干部素质提升计划，加强地方政府领导和教育局局长、校（园）</w:t>
      </w:r>
      <w:r>
        <w:rPr>
          <w:rFonts w:hint="eastAsia" w:ascii="仿宋_GB2312" w:hAnsi="仿宋_GB2312" w:eastAsia="仿宋_GB2312" w:cs="仿宋_GB2312"/>
          <w:color w:val="auto"/>
          <w:sz w:val="32"/>
          <w:szCs w:val="32"/>
          <w:shd w:val="clear" w:color="auto" w:fill="auto"/>
        </w:rPr>
        <w:t>长</w:t>
      </w:r>
      <w:r>
        <w:rPr>
          <w:rFonts w:hint="eastAsia" w:ascii="仿宋_GB2312" w:hAnsi="仿宋_GB2312" w:eastAsia="仿宋_GB2312" w:cs="仿宋_GB2312"/>
          <w:color w:val="auto"/>
          <w:sz w:val="32"/>
          <w:szCs w:val="32"/>
        </w:rPr>
        <w:t>业务能力培训，加强教育行政部门干部队伍建设。畅通学校、教科研机构与教育部门优秀人才交流互动渠道。推行中小学校长聘任制和任期制，实行任期目标责任制管理，选配的中小学校长原则应具备至少5年一线教育工作经历及相应的专业背景。建立中青年校长和后备校长培养制度，建立完善后备校长人才库，分层分级培养一批“种子校长”，新任校长主要从人才库中择优选拔。建立校长校内听课评课制度，提高校长指导教育教学的能力素质。结合实施县以下事业单位管理职员等级晋升制度，深化中小学（幼儿园）校（园）长职级制改革。</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jc w:val="center"/>
              <w:rPr>
                <w:rFonts w:hint="eastAsia" w:ascii="仿宋_GB2312" w:hAnsi="仿宋_GB2312" w:eastAsia="仿宋_GB2312" w:cs="仿宋_GB2312"/>
                <w:b/>
                <w:bCs/>
                <w:color w:val="auto"/>
                <w:sz w:val="24"/>
                <w:szCs w:val="24"/>
                <w:lang w:eastAsia="en-US"/>
              </w:rPr>
            </w:pPr>
            <w:r>
              <w:rPr>
                <w:rFonts w:hint="eastAsia" w:ascii="仿宋_GB2312" w:hAnsi="仿宋_GB2312" w:eastAsia="仿宋_GB2312" w:cs="仿宋_GB2312"/>
                <w:b/>
                <w:bCs/>
                <w:color w:val="auto"/>
                <w:sz w:val="28"/>
                <w:szCs w:val="28"/>
                <w:lang w:eastAsia="en-US"/>
              </w:rPr>
              <w:t>专栏1</w:t>
            </w:r>
            <w:r>
              <w:rPr>
                <w:rFonts w:hint="eastAsia" w:ascii="仿宋_GB2312" w:hAnsi="仿宋_GB2312" w:eastAsia="仿宋_GB2312" w:cs="仿宋_GB2312"/>
                <w:b/>
                <w:bCs/>
                <w:color w:val="auto"/>
                <w:sz w:val="28"/>
                <w:szCs w:val="28"/>
                <w:lang w:val="en-US" w:eastAsia="zh-CN"/>
              </w:rPr>
              <w:t>4</w:t>
            </w:r>
            <w:r>
              <w:rPr>
                <w:rFonts w:hint="eastAsia" w:ascii="仿宋_GB2312" w:hAnsi="仿宋_GB2312" w:eastAsia="仿宋_GB2312" w:cs="仿宋_GB2312"/>
                <w:b/>
                <w:bCs/>
                <w:color w:val="auto"/>
                <w:sz w:val="28"/>
                <w:szCs w:val="28"/>
                <w:lang w:eastAsia="en-US"/>
              </w:rPr>
              <w:t xml:space="preserve"> “新</w:t>
            </w:r>
            <w:r>
              <w:rPr>
                <w:rFonts w:hint="eastAsia" w:ascii="仿宋_GB2312" w:hAnsi="仿宋_GB2312" w:eastAsia="仿宋_GB2312" w:cs="仿宋_GB2312"/>
                <w:b/>
                <w:bCs/>
                <w:color w:val="auto"/>
                <w:sz w:val="28"/>
                <w:szCs w:val="28"/>
                <w:shd w:val="clear" w:color="auto" w:fill="auto"/>
                <w:lang w:eastAsia="en-US"/>
              </w:rPr>
              <w:t>强</w:t>
            </w:r>
            <w:r>
              <w:rPr>
                <w:rFonts w:hint="eastAsia" w:ascii="仿宋_GB2312" w:hAnsi="仿宋_GB2312" w:eastAsia="仿宋_GB2312" w:cs="仿宋_GB2312"/>
                <w:b/>
                <w:bCs/>
                <w:color w:val="auto"/>
                <w:sz w:val="28"/>
                <w:szCs w:val="28"/>
                <w:lang w:eastAsia="en-US"/>
              </w:rPr>
              <w:t>师工程”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4"/>
                <w:szCs w:val="24"/>
                <w:shd w:val="clear" w:color="auto" w:fill="auto"/>
                <w:lang w:eastAsia="en-US"/>
              </w:rPr>
              <w:t>1.建设新时代教师发展体系。</w:t>
            </w:r>
            <w:r>
              <w:rPr>
                <w:rFonts w:hint="eastAsia" w:ascii="仿宋_GB2312" w:hAnsi="仿宋_GB2312" w:eastAsia="仿宋_GB2312" w:cs="仿宋_GB2312"/>
                <w:color w:val="auto"/>
                <w:sz w:val="24"/>
                <w:szCs w:val="24"/>
                <w:shd w:val="clear" w:color="auto" w:fill="auto"/>
                <w:lang w:eastAsia="en-US"/>
              </w:rPr>
              <w:t>全面提升教师队伍素质，到2025年，幼儿园</w:t>
            </w:r>
            <w:r>
              <w:rPr>
                <w:rFonts w:hint="eastAsia" w:ascii="仿宋_GB2312" w:hAnsi="仿宋_GB2312" w:eastAsia="仿宋_GB2312" w:cs="仿宋_GB2312"/>
                <w:color w:val="auto"/>
                <w:sz w:val="24"/>
                <w:szCs w:val="24"/>
                <w:shd w:val="clear" w:color="auto" w:fill="auto"/>
                <w:lang w:eastAsia="zh-CN"/>
              </w:rPr>
              <w:t>专任教师</w:t>
            </w:r>
            <w:r>
              <w:rPr>
                <w:rFonts w:hint="eastAsia" w:ascii="仿宋_GB2312" w:hAnsi="仿宋_GB2312" w:eastAsia="仿宋_GB2312" w:cs="仿宋_GB2312"/>
                <w:color w:val="auto"/>
                <w:sz w:val="24"/>
                <w:szCs w:val="24"/>
                <w:shd w:val="clear" w:color="auto" w:fill="auto"/>
                <w:lang w:eastAsia="en-US"/>
              </w:rPr>
              <w:t>专科以上学历比例达到93%，小学、初中</w:t>
            </w:r>
            <w:r>
              <w:rPr>
                <w:rFonts w:hint="eastAsia" w:ascii="仿宋_GB2312" w:hAnsi="仿宋_GB2312" w:eastAsia="仿宋_GB2312" w:cs="仿宋_GB2312"/>
                <w:color w:val="auto"/>
                <w:sz w:val="24"/>
                <w:szCs w:val="24"/>
                <w:shd w:val="clear" w:color="auto" w:fill="auto"/>
                <w:lang w:eastAsia="zh-CN"/>
              </w:rPr>
              <w:t>专任教师</w:t>
            </w:r>
            <w:r>
              <w:rPr>
                <w:rFonts w:hint="eastAsia" w:ascii="仿宋_GB2312" w:hAnsi="仿宋_GB2312" w:eastAsia="仿宋_GB2312" w:cs="仿宋_GB2312"/>
                <w:color w:val="auto"/>
                <w:sz w:val="24"/>
                <w:szCs w:val="24"/>
                <w:shd w:val="clear" w:color="auto" w:fill="auto"/>
                <w:lang w:eastAsia="en-US"/>
              </w:rPr>
              <w:t>本科以上学历比例分别达到</w:t>
            </w:r>
            <w:r>
              <w:rPr>
                <w:rFonts w:hint="eastAsia" w:ascii="仿宋_GB2312" w:hAnsi="仿宋_GB2312" w:eastAsia="仿宋_GB2312" w:cs="仿宋_GB2312"/>
                <w:color w:val="auto"/>
                <w:sz w:val="24"/>
                <w:szCs w:val="24"/>
                <w:lang w:eastAsia="en-US"/>
              </w:rPr>
              <w:t>73.11%、95.89%，高中阶段学校</w:t>
            </w:r>
            <w:r>
              <w:rPr>
                <w:rFonts w:hint="eastAsia" w:ascii="仿宋_GB2312" w:hAnsi="仿宋_GB2312" w:eastAsia="仿宋_GB2312" w:cs="仿宋_GB2312"/>
                <w:color w:val="auto"/>
                <w:sz w:val="24"/>
                <w:szCs w:val="24"/>
                <w:lang w:eastAsia="zh-CN"/>
              </w:rPr>
              <w:t>专任教师</w:t>
            </w:r>
            <w:r>
              <w:rPr>
                <w:rFonts w:hint="eastAsia" w:ascii="仿宋_GB2312" w:hAnsi="仿宋_GB2312" w:eastAsia="仿宋_GB2312" w:cs="仿宋_GB2312"/>
                <w:color w:val="auto"/>
                <w:sz w:val="24"/>
                <w:szCs w:val="24"/>
                <w:lang w:eastAsia="en-US"/>
              </w:rPr>
              <w:t>研究生学历比例达到15%，“双师型”教师占专业课教师比例达到65%以上。</w:t>
            </w:r>
          </w:p>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4"/>
                <w:szCs w:val="24"/>
                <w:shd w:val="clear" w:color="auto" w:fill="auto"/>
                <w:lang w:eastAsia="en-US"/>
              </w:rPr>
              <w:t>2.完善教师专业发展支持体系。</w:t>
            </w:r>
            <w:r>
              <w:rPr>
                <w:rFonts w:hint="eastAsia" w:ascii="仿宋_GB2312" w:hAnsi="仿宋_GB2312" w:eastAsia="仿宋_GB2312" w:cs="仿宋_GB2312"/>
                <w:color w:val="auto"/>
                <w:sz w:val="24"/>
                <w:szCs w:val="24"/>
                <w:lang w:eastAsia="en-US"/>
              </w:rPr>
              <w:t>加强高层次教育人才队伍建设，全市每年培养不少于50名卓越教师，每个</w:t>
            </w:r>
            <w:r>
              <w:rPr>
                <w:rFonts w:hint="eastAsia" w:ascii="仿宋_GB2312" w:hAnsi="仿宋_GB2312" w:eastAsia="仿宋_GB2312" w:cs="仿宋_GB2312"/>
                <w:color w:val="auto"/>
                <w:sz w:val="24"/>
                <w:szCs w:val="24"/>
                <w:lang w:eastAsia="zh-CN"/>
              </w:rPr>
              <w:t>区、县级市</w:t>
            </w:r>
            <w:r>
              <w:rPr>
                <w:rFonts w:hint="eastAsia" w:ascii="仿宋_GB2312" w:hAnsi="仿宋_GB2312" w:eastAsia="仿宋_GB2312" w:cs="仿宋_GB2312"/>
                <w:color w:val="auto"/>
                <w:sz w:val="24"/>
                <w:szCs w:val="24"/>
                <w:lang w:eastAsia="en-US"/>
              </w:rPr>
              <w:t>每年培养不少于100名骨干教师。全市每年培养50名名校长、</w:t>
            </w:r>
            <w:r>
              <w:rPr>
                <w:rFonts w:hint="eastAsia" w:ascii="仿宋_GB2312" w:hAnsi="仿宋_GB2312" w:eastAsia="仿宋_GB2312" w:cs="仿宋_GB2312"/>
                <w:color w:val="auto"/>
                <w:sz w:val="24"/>
                <w:szCs w:val="24"/>
                <w:lang w:eastAsia="zh-CN"/>
              </w:rPr>
              <w:t>名</w:t>
            </w:r>
            <w:r>
              <w:rPr>
                <w:rFonts w:hint="eastAsia" w:ascii="仿宋_GB2312" w:hAnsi="仿宋_GB2312" w:eastAsia="仿宋_GB2312" w:cs="仿宋_GB2312"/>
                <w:color w:val="auto"/>
                <w:sz w:val="24"/>
                <w:szCs w:val="24"/>
                <w:lang w:eastAsia="en-US"/>
              </w:rPr>
              <w:t>班主任、名教师，建立工作室。</w:t>
            </w:r>
          </w:p>
          <w:p>
            <w:pPr>
              <w:spacing w:line="400" w:lineRule="exact"/>
              <w:ind w:firstLine="480" w:firstLineChars="200"/>
              <w:rPr>
                <w:rFonts w:hint="eastAsia" w:ascii="仿宋_GB2312" w:hAnsi="仿宋_GB2312" w:eastAsia="仿宋_GB2312" w:cs="仿宋_GB2312"/>
                <w:color w:val="auto"/>
                <w:sz w:val="21"/>
                <w:szCs w:val="24"/>
                <w:lang w:val="en-US" w:eastAsia="zh-CN"/>
              </w:rPr>
            </w:pPr>
            <w:r>
              <w:rPr>
                <w:rFonts w:hint="eastAsia" w:ascii="仿宋_GB2312" w:hAnsi="仿宋_GB2312" w:eastAsia="仿宋_GB2312" w:cs="仿宋_GB2312"/>
                <w:b/>
                <w:bCs/>
                <w:color w:val="auto"/>
                <w:sz w:val="24"/>
                <w:szCs w:val="24"/>
                <w:shd w:val="clear" w:color="auto" w:fill="auto"/>
                <w:lang w:eastAsia="en-US"/>
              </w:rPr>
              <w:t>3.推进新时代基础教育教研体系建设。</w:t>
            </w:r>
            <w:r>
              <w:rPr>
                <w:rFonts w:hint="eastAsia" w:ascii="仿宋_GB2312" w:hAnsi="仿宋_GB2312" w:eastAsia="仿宋_GB2312" w:cs="仿宋_GB2312"/>
                <w:color w:val="auto"/>
                <w:sz w:val="24"/>
                <w:szCs w:val="24"/>
                <w:lang w:eastAsia="en-US"/>
              </w:rPr>
              <w:t>健全市县</w:t>
            </w:r>
            <w:r>
              <w:rPr>
                <w:rFonts w:hint="eastAsia" w:ascii="仿宋_GB2312" w:hAnsi="仿宋_GB2312" w:eastAsia="仿宋_GB2312" w:cs="仿宋_GB2312"/>
                <w:color w:val="auto"/>
                <w:sz w:val="24"/>
                <w:szCs w:val="24"/>
                <w:shd w:val="clear" w:color="auto" w:fill="auto"/>
                <w:lang w:eastAsia="en-US"/>
              </w:rPr>
              <w:t>校</w:t>
            </w:r>
            <w:r>
              <w:rPr>
                <w:rFonts w:hint="eastAsia" w:ascii="仿宋_GB2312" w:hAnsi="仿宋_GB2312" w:eastAsia="仿宋_GB2312" w:cs="仿宋_GB2312"/>
                <w:color w:val="auto"/>
                <w:sz w:val="24"/>
                <w:szCs w:val="24"/>
                <w:lang w:eastAsia="en-US"/>
              </w:rPr>
              <w:t>三级教研工作体系，各级教师发展机构按照国家课程方案配齐各学段各学科专职教研员。健全教研员全员培训和3年一周期教研能力提升研修制度。每年面向全市教研员和教师开展15场次线上或线上线下相结合的学科教研活动或主题教研活动。到2025年，建设100个左右市级学科教研基地、</w:t>
            </w:r>
            <w:r>
              <w:rPr>
                <w:rFonts w:hint="eastAsia" w:ascii="仿宋_GB2312" w:hAnsi="仿宋_GB2312" w:eastAsia="仿宋_GB2312" w:cs="仿宋_GB2312"/>
                <w:color w:val="auto"/>
                <w:sz w:val="24"/>
                <w:szCs w:val="24"/>
                <w:lang w:eastAsia="zh-CN"/>
              </w:rPr>
              <w:t>区（县级市）</w:t>
            </w:r>
            <w:r>
              <w:rPr>
                <w:rFonts w:hint="eastAsia" w:ascii="仿宋_GB2312" w:hAnsi="仿宋_GB2312" w:eastAsia="仿宋_GB2312" w:cs="仿宋_GB2312"/>
                <w:color w:val="auto"/>
                <w:sz w:val="24"/>
                <w:szCs w:val="24"/>
                <w:lang w:eastAsia="en-US"/>
              </w:rPr>
              <w:t>教研基地和</w:t>
            </w:r>
            <w:r>
              <w:rPr>
                <w:rFonts w:hint="eastAsia" w:ascii="仿宋_GB2312" w:hAnsi="仿宋_GB2312" w:eastAsia="仿宋_GB2312" w:cs="仿宋_GB2312"/>
                <w:color w:val="auto"/>
                <w:sz w:val="24"/>
                <w:szCs w:val="24"/>
                <w:shd w:val="clear" w:color="auto" w:fill="auto"/>
                <w:lang w:eastAsia="en-US"/>
              </w:rPr>
              <w:t>校</w:t>
            </w:r>
            <w:r>
              <w:rPr>
                <w:rFonts w:hint="eastAsia" w:ascii="仿宋_GB2312" w:hAnsi="仿宋_GB2312" w:eastAsia="仿宋_GB2312" w:cs="仿宋_GB2312"/>
                <w:color w:val="auto"/>
                <w:sz w:val="24"/>
                <w:szCs w:val="24"/>
                <w:lang w:eastAsia="en-US"/>
              </w:rPr>
              <w:t>（园）本教研基地。</w:t>
            </w:r>
          </w:p>
        </w:tc>
      </w:tr>
    </w:tbl>
    <w:p>
      <w:pPr>
        <w:pStyle w:val="2"/>
        <w:pageBreakBefore w:val="0"/>
        <w:widowControl w:val="0"/>
        <w:kinsoku/>
        <w:wordWrap/>
        <w:overflowPunct/>
        <w:topLinePunct w:val="0"/>
        <w:autoSpaceDE/>
        <w:autoSpaceDN/>
        <w:bidi w:val="0"/>
        <w:spacing w:before="156" w:beforeLines="50" w:after="156" w:afterLines="50" w:line="540" w:lineRule="exact"/>
        <w:ind w:left="0" w:leftChars="0"/>
        <w:jc w:val="center"/>
        <w:textAlignment w:val="auto"/>
        <w:outlineLvl w:val="0"/>
        <w:rPr>
          <w:rFonts w:ascii="方正小标宋简体" w:hAnsi="方正小标宋简体" w:eastAsia="方正小标宋简体" w:cs="方正小标宋简体"/>
          <w:color w:val="auto"/>
          <w:sz w:val="36"/>
          <w:szCs w:val="36"/>
        </w:rPr>
      </w:pPr>
      <w:bookmarkStart w:id="68" w:name="_Toc98694810"/>
      <w:bookmarkStart w:id="69" w:name="_Toc842852618_WPSOffice_Level1"/>
      <w:r>
        <w:rPr>
          <w:rFonts w:hint="eastAsia" w:ascii="方正小标宋简体" w:hAnsi="方正小标宋简体" w:eastAsia="方正小标宋简体" w:cs="方正小标宋简体"/>
          <w:bCs/>
          <w:color w:val="auto"/>
          <w:kern w:val="0"/>
          <w:sz w:val="36"/>
          <w:szCs w:val="36"/>
        </w:rPr>
        <w:br w:type="page"/>
      </w:r>
      <w:r>
        <w:rPr>
          <w:rFonts w:hint="eastAsia" w:ascii="方正小标宋简体" w:hAnsi="方正小标宋简体" w:eastAsia="方正小标宋简体" w:cs="方正小标宋简体"/>
          <w:bCs/>
          <w:color w:val="auto"/>
          <w:kern w:val="0"/>
          <w:sz w:val="36"/>
          <w:szCs w:val="36"/>
        </w:rPr>
        <w:t>第五章 深化七大改革，完善教育高质量发展体制</w:t>
      </w:r>
      <w:bookmarkEnd w:id="68"/>
      <w:bookmarkEnd w:id="69"/>
    </w:p>
    <w:p>
      <w:pPr>
        <w:pStyle w:val="4"/>
        <w:pageBreakBefore w:val="0"/>
        <w:widowControl w:val="0"/>
        <w:kinsoku/>
        <w:wordWrap/>
        <w:overflowPunct/>
        <w:topLinePunct w:val="0"/>
        <w:autoSpaceDE/>
        <w:autoSpaceDN/>
        <w:bidi w:val="0"/>
        <w:spacing w:before="156" w:beforeLines="50" w:after="156" w:afterLines="50" w:line="540" w:lineRule="exact"/>
        <w:jc w:val="center"/>
        <w:textAlignment w:val="auto"/>
        <w:rPr>
          <w:rFonts w:ascii="黑体" w:hAnsi="黑体" w:eastAsia="黑体" w:cs="黑体"/>
          <w:b w:val="0"/>
          <w:bCs w:val="0"/>
          <w:color w:val="auto"/>
          <w:kern w:val="0"/>
        </w:rPr>
      </w:pPr>
      <w:bookmarkStart w:id="70" w:name="_Toc98694811"/>
      <w:bookmarkStart w:id="71" w:name="_Toc598241885_WPSOffice_Level2"/>
      <w:bookmarkStart w:id="72" w:name="_Toc1642990604_WPSOffice_Level2"/>
      <w:r>
        <w:rPr>
          <w:rFonts w:hint="eastAsia" w:ascii="黑体" w:hAnsi="黑体" w:eastAsia="黑体" w:cs="黑体"/>
          <w:b w:val="0"/>
          <w:bCs w:val="0"/>
          <w:color w:val="auto"/>
          <w:kern w:val="0"/>
        </w:rPr>
        <w:t>第一节 深化新时代教育评价改革</w:t>
      </w:r>
      <w:bookmarkEnd w:id="70"/>
      <w:bookmarkEnd w:id="71"/>
      <w:bookmarkEnd w:id="72"/>
    </w:p>
    <w:p>
      <w:pPr>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统筹推进党委和政府、学校、教师、学生和用人评价等关键领域改革取得实质性突破，树立科学的教育发展观、人才成长观、选人用人观。 </w:t>
      </w:r>
    </w:p>
    <w:p>
      <w:pPr>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实施以科学履职为导向的党委和政府教育工作评价。</w:t>
      </w:r>
      <w:r>
        <w:rPr>
          <w:rFonts w:hint="eastAsia" w:ascii="仿宋_GB2312" w:hAnsi="仿宋_GB2312" w:eastAsia="仿宋_GB2312" w:cs="仿宋_GB2312"/>
          <w:color w:val="auto"/>
          <w:sz w:val="32"/>
          <w:szCs w:val="32"/>
        </w:rPr>
        <w:t>完善党对教育工作全面领导的体制机制，推动各级党委、政府全面贯彻党的教育方针和党中央决策部署，落实教育优先发展战略。完善党委和政府定期研究教育工作机制，建立健全党政主要负责同志深入教育一线调研、为师生上思政课、联系学校和年终述职</w:t>
      </w:r>
      <w:r>
        <w:rPr>
          <w:rFonts w:hint="eastAsia" w:ascii="仿宋_GB2312" w:hAnsi="仿宋_GB2312" w:eastAsia="仿宋_GB2312" w:cs="仿宋_GB2312"/>
          <w:color w:val="auto"/>
          <w:sz w:val="32"/>
          <w:szCs w:val="32"/>
          <w:shd w:val="clear" w:color="auto" w:fill="auto"/>
        </w:rPr>
        <w:t>必述</w:t>
      </w:r>
      <w:r>
        <w:rPr>
          <w:rFonts w:hint="eastAsia" w:ascii="仿宋_GB2312" w:hAnsi="仿宋_GB2312" w:eastAsia="仿宋_GB2312" w:cs="仿宋_GB2312"/>
          <w:color w:val="auto"/>
          <w:sz w:val="32"/>
          <w:szCs w:val="32"/>
        </w:rPr>
        <w:t>教育工作等制度。遵循教育规律，坚决纠正片面追求升学率倾向，营造健康的教育生态。</w:t>
      </w:r>
    </w:p>
    <w:p>
      <w:pPr>
        <w:keepNext w:val="0"/>
        <w:keepLines w:val="0"/>
        <w:pageBreakBefore w:val="0"/>
        <w:widowControl w:val="0"/>
        <w:kinsoku/>
        <w:wordWrap/>
        <w:overflowPunct/>
        <w:topLinePunct w:val="0"/>
        <w:autoSpaceDE/>
        <w:autoSpaceDN/>
        <w:bidi w:val="0"/>
        <w:adjustRightInd w:val="0"/>
        <w:snapToGrid w:val="0"/>
        <w:spacing w:after="156" w:afterLines="50" w:line="53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实施以立德</w:t>
      </w:r>
      <w:r>
        <w:rPr>
          <w:rFonts w:hint="eastAsia" w:ascii="仿宋_GB2312" w:hAnsi="仿宋_GB2312" w:eastAsia="仿宋_GB2312" w:cs="仿宋_GB2312"/>
          <w:b/>
          <w:bCs/>
          <w:color w:val="auto"/>
          <w:sz w:val="32"/>
          <w:szCs w:val="32"/>
          <w:shd w:val="clear" w:color="auto" w:fill="auto"/>
        </w:rPr>
        <w:t>树</w:t>
      </w:r>
      <w:r>
        <w:rPr>
          <w:rFonts w:hint="eastAsia" w:ascii="仿宋_GB2312" w:hAnsi="仿宋_GB2312" w:eastAsia="仿宋_GB2312" w:cs="仿宋_GB2312"/>
          <w:b/>
          <w:bCs/>
          <w:color w:val="auto"/>
          <w:sz w:val="32"/>
          <w:szCs w:val="32"/>
        </w:rPr>
        <w:t>人为导向的学校评价。</w:t>
      </w:r>
      <w:r>
        <w:rPr>
          <w:rFonts w:hint="eastAsia" w:ascii="仿宋_GB2312" w:hAnsi="仿宋_GB2312" w:eastAsia="仿宋_GB2312" w:cs="仿宋_GB2312"/>
          <w:color w:val="auto"/>
          <w:sz w:val="32"/>
          <w:szCs w:val="32"/>
        </w:rPr>
        <w:t>加快完善各级各类学校评价标准，将落实党的全面领导、推动中小学建立党组织领导的校长负责制、坚持正确办学方向、加强和改进学校党的建设以及党建带团建队建、做好思想政治工作和意识形态工作、依法治校办学、维护安全稳定作为评价学校及其领导人员、管理人员的重要内容，健全学校内部质量保障制度。规范开展学校各类评价活动，对学校进行持续性、科学性、综合性评价，释放学校办学活力。完善幼儿园评价，改进中小学校评价，健全职业学校评价，完善高校分类评价。开展各级各类教育质量评估与监测，加强评估与监测结果运用。</w:t>
      </w:r>
    </w:p>
    <w:p>
      <w:pPr>
        <w:pStyle w:val="2"/>
        <w:rPr>
          <w:rFonts w:hint="eastAsia" w:ascii="Times New Roman" w:hAnsi="Times New Roman" w:eastAsia="宋体" w:cs="Times New Roman"/>
          <w:color w:val="auto"/>
          <w:sz w:val="20"/>
          <w:szCs w:val="20"/>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center"/>
          </w:tcPr>
          <w:p>
            <w:pPr>
              <w:spacing w:line="400" w:lineRule="exact"/>
              <w:jc w:val="center"/>
              <w:rPr>
                <w:rFonts w:ascii="Times New Roman" w:hAnsi="Times New Roman" w:eastAsia="仿宋" w:cs="Times New Roman"/>
                <w:b/>
                <w:bCs/>
                <w:color w:val="auto"/>
                <w:sz w:val="32"/>
                <w:szCs w:val="40"/>
                <w:lang w:eastAsia="en-US"/>
              </w:rPr>
            </w:pPr>
            <w:r>
              <w:rPr>
                <w:rFonts w:ascii="Times New Roman" w:hAnsi="Times New Roman" w:eastAsia="仿宋" w:cs="Times New Roman"/>
                <w:b/>
                <w:bCs/>
                <w:color w:val="auto"/>
                <w:sz w:val="28"/>
                <w:szCs w:val="36"/>
                <w:lang w:eastAsia="en-US"/>
              </w:rPr>
              <w:t>专栏</w:t>
            </w:r>
            <w:r>
              <w:rPr>
                <w:rFonts w:hint="eastAsia" w:ascii="Times New Roman" w:hAnsi="Times New Roman" w:eastAsia="仿宋" w:cs="Times New Roman"/>
                <w:b/>
                <w:bCs/>
                <w:color w:val="auto"/>
                <w:sz w:val="28"/>
                <w:szCs w:val="36"/>
                <w:lang w:eastAsia="en-US"/>
              </w:rPr>
              <w:t>1</w:t>
            </w:r>
            <w:r>
              <w:rPr>
                <w:rFonts w:hint="eastAsia" w:ascii="Times New Roman" w:hAnsi="Times New Roman" w:eastAsia="仿宋" w:cs="Times New Roman"/>
                <w:b/>
                <w:bCs/>
                <w:color w:val="auto"/>
                <w:sz w:val="28"/>
                <w:szCs w:val="36"/>
                <w:lang w:val="en-US" w:eastAsia="zh-CN"/>
              </w:rPr>
              <w:t>5</w:t>
            </w:r>
            <w:r>
              <w:rPr>
                <w:rFonts w:ascii="Times New Roman" w:hAnsi="Times New Roman" w:eastAsia="仿宋" w:cs="Times New Roman"/>
                <w:b/>
                <w:bCs/>
                <w:color w:val="auto"/>
                <w:sz w:val="28"/>
                <w:szCs w:val="36"/>
                <w:lang w:eastAsia="en-US"/>
              </w:rPr>
              <w:t xml:space="preserve"> 各学段评价重点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4"/>
                <w:szCs w:val="24"/>
                <w:lang w:eastAsia="en-US"/>
              </w:rPr>
              <w:t>1.完善幼儿园评价。</w:t>
            </w:r>
            <w:r>
              <w:rPr>
                <w:rFonts w:hint="eastAsia" w:ascii="仿宋_GB2312" w:hAnsi="仿宋_GB2312" w:eastAsia="仿宋_GB2312" w:cs="仿宋_GB2312"/>
                <w:color w:val="auto"/>
                <w:sz w:val="24"/>
                <w:szCs w:val="24"/>
                <w:lang w:eastAsia="en-US"/>
              </w:rPr>
              <w:t>重点评价幼儿园科学保教、规范办园、安全卫生、队伍建设、克服小学化倾向等情况。</w:t>
            </w:r>
          </w:p>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4"/>
                <w:szCs w:val="24"/>
                <w:lang w:eastAsia="en-US"/>
              </w:rPr>
              <w:t>2.改进中小学校评价。</w:t>
            </w:r>
            <w:r>
              <w:rPr>
                <w:rFonts w:hint="eastAsia" w:ascii="仿宋_GB2312" w:hAnsi="仿宋_GB2312" w:eastAsia="仿宋_GB2312" w:cs="仿宋_GB2312"/>
                <w:color w:val="auto"/>
                <w:sz w:val="24"/>
                <w:szCs w:val="24"/>
                <w:lang w:eastAsia="en-US"/>
              </w:rPr>
              <w:t>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度，加强监测结果运用，促进义务教育优质均衡发展。普通高中主要评价学生全面发展的培养情况。</w:t>
            </w:r>
          </w:p>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4"/>
                <w:szCs w:val="24"/>
                <w:lang w:eastAsia="en-US"/>
              </w:rPr>
              <w:t>3.健全职业学校评价。</w:t>
            </w:r>
            <w:r>
              <w:rPr>
                <w:rFonts w:hint="eastAsia" w:ascii="仿宋_GB2312" w:hAnsi="仿宋_GB2312" w:eastAsia="仿宋_GB2312" w:cs="仿宋_GB2312"/>
                <w:color w:val="auto"/>
                <w:sz w:val="24"/>
                <w:szCs w:val="24"/>
                <w:lang w:eastAsia="en-US"/>
              </w:rPr>
              <w:t>重点评价职业学校（含技工院校）</w:t>
            </w:r>
            <w:r>
              <w:rPr>
                <w:rFonts w:hint="eastAsia" w:ascii="仿宋_GB2312" w:hAnsi="仿宋_GB2312" w:eastAsia="仿宋_GB2312" w:cs="仿宋_GB2312"/>
                <w:color w:val="auto"/>
                <w:sz w:val="24"/>
                <w:szCs w:val="24"/>
                <w:shd w:val="clear" w:color="auto" w:fill="auto"/>
                <w:lang w:eastAsia="en-US"/>
              </w:rPr>
              <w:t>德技</w:t>
            </w:r>
            <w:r>
              <w:rPr>
                <w:rFonts w:hint="eastAsia" w:ascii="仿宋_GB2312" w:hAnsi="仿宋_GB2312" w:eastAsia="仿宋_GB2312" w:cs="仿宋_GB2312"/>
                <w:color w:val="auto"/>
                <w:sz w:val="24"/>
                <w:szCs w:val="24"/>
                <w:lang w:eastAsia="en-US"/>
              </w:rPr>
              <w:t>并修、产</w:t>
            </w:r>
            <w:r>
              <w:rPr>
                <w:rFonts w:hint="eastAsia" w:ascii="仿宋_GB2312" w:hAnsi="仿宋_GB2312" w:eastAsia="仿宋_GB2312" w:cs="仿宋_GB2312"/>
                <w:color w:val="auto"/>
                <w:sz w:val="24"/>
                <w:szCs w:val="24"/>
                <w:shd w:val="clear" w:color="auto" w:fill="auto"/>
                <w:lang w:eastAsia="en-US"/>
              </w:rPr>
              <w:t>教</w:t>
            </w:r>
            <w:r>
              <w:rPr>
                <w:rFonts w:hint="eastAsia" w:ascii="仿宋_GB2312" w:hAnsi="仿宋_GB2312" w:eastAsia="仿宋_GB2312" w:cs="仿宋_GB2312"/>
                <w:color w:val="auto"/>
                <w:sz w:val="24"/>
                <w:szCs w:val="24"/>
                <w:lang w:eastAsia="en-US"/>
              </w:rPr>
              <w:t>融合、校企合作、育训结合、学生获取职业资格或职业技能等级证书、毕业生就业质量、“双师型”教师（含技工院校“一体化”教师）队伍建设等情况，扩大行业企业参与评价，引导培养高素质劳动者和技术技能人才。</w:t>
            </w:r>
          </w:p>
          <w:p>
            <w:pPr>
              <w:spacing w:line="400" w:lineRule="exact"/>
              <w:ind w:firstLine="480" w:firstLineChars="200"/>
              <w:rPr>
                <w:rFonts w:hint="eastAsia" w:ascii="仿宋_GB2312" w:hAnsi="仿宋_GB2312" w:eastAsia="仿宋_GB2312" w:cs="仿宋_GB2312"/>
                <w:color w:val="auto"/>
                <w:sz w:val="21"/>
                <w:szCs w:val="24"/>
                <w:lang w:eastAsia="en-US"/>
              </w:rPr>
            </w:pPr>
            <w:r>
              <w:rPr>
                <w:rFonts w:hint="eastAsia" w:ascii="仿宋_GB2312" w:hAnsi="仿宋_GB2312" w:eastAsia="仿宋_GB2312" w:cs="仿宋_GB2312"/>
                <w:b/>
                <w:bCs/>
                <w:color w:val="auto"/>
                <w:sz w:val="24"/>
                <w:szCs w:val="24"/>
                <w:lang w:eastAsia="en-US"/>
              </w:rPr>
              <w:t>4.完善高校分类评价。</w:t>
            </w:r>
            <w:r>
              <w:rPr>
                <w:rFonts w:hint="eastAsia" w:ascii="仿宋_GB2312" w:hAnsi="仿宋_GB2312" w:eastAsia="仿宋_GB2312" w:cs="仿宋_GB2312"/>
                <w:color w:val="auto"/>
                <w:sz w:val="24"/>
                <w:szCs w:val="24"/>
                <w:lang w:eastAsia="en-US"/>
              </w:rPr>
              <w:t>引导不同类型高校科学定位，办出特色和水平。</w:t>
            </w:r>
          </w:p>
        </w:tc>
      </w:tr>
    </w:tbl>
    <w:p>
      <w:pPr>
        <w:keepNext w:val="0"/>
        <w:keepLines w:val="0"/>
        <w:pageBreakBefore w:val="0"/>
        <w:widowControl w:val="0"/>
        <w:kinsoku/>
        <w:wordWrap/>
        <w:overflowPunct/>
        <w:topLinePunct w:val="0"/>
        <w:autoSpaceDE/>
        <w:autoSpaceDN/>
        <w:bidi w:val="0"/>
        <w:adjustRightInd w:val="0"/>
        <w:snapToGrid w:val="0"/>
        <w:spacing w:before="156" w:beforeLines="50" w:line="53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实施以教书育人为导向的教师评价。</w:t>
      </w:r>
      <w:r>
        <w:rPr>
          <w:rFonts w:hint="eastAsia" w:ascii="仿宋_GB2312" w:hAnsi="仿宋_GB2312" w:eastAsia="仿宋_GB2312" w:cs="仿宋_GB2312"/>
          <w:color w:val="auto"/>
          <w:sz w:val="32"/>
          <w:szCs w:val="32"/>
        </w:rPr>
        <w:t>将师德师风作为评价教师队伍素质第一标准，深化教师评价制度改革。改进中小学校教师业绩评价，引导教师全面履行教书育人第一职责，突出质量和贡献导向，规范评价结果使用，推进人才称号回归学术性、荣誉性本质。坚持职称评审与岗位聘用制度有效衔接，完善评价标准，创新评价机制，规范评审程序，形成以品德、能力和业绩为导向和以社会、业内认可为核心的可量化的教师职称评价制度。优化教师岗位结构比例，对长期在农村工作的中小学教师实行高级职称“定向评价、定向使用”并总量控制、比例单列，不占各地专业技术高级职称结构比例，试行单独分组、单独评审。</w:t>
      </w:r>
    </w:p>
    <w:p>
      <w:pPr>
        <w:keepNext w:val="0"/>
        <w:keepLines w:val="0"/>
        <w:pageBreakBefore w:val="0"/>
        <w:widowControl w:val="0"/>
        <w:kinsoku/>
        <w:wordWrap/>
        <w:overflowPunct/>
        <w:topLinePunct w:val="0"/>
        <w:autoSpaceDE/>
        <w:autoSpaceDN/>
        <w:bidi w:val="0"/>
        <w:spacing w:line="53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实施以全面发展为导向的学生评价。</w:t>
      </w:r>
      <w:r>
        <w:rPr>
          <w:rFonts w:hint="eastAsia" w:ascii="仿宋_GB2312" w:hAnsi="仿宋_GB2312" w:eastAsia="仿宋_GB2312" w:cs="仿宋_GB2312"/>
          <w:color w:val="auto"/>
          <w:sz w:val="32"/>
          <w:szCs w:val="32"/>
        </w:rPr>
        <w:t>坚持以德为先、能力为重、全面发展，坚持面向人人、因材施教、知行合一，创新德智体美劳过程性评价办法，完善综合素质评价体系，大力发展素质教育，树立科学成长成才观念，扭转“唯分数、</w:t>
      </w:r>
      <w:r>
        <w:rPr>
          <w:rFonts w:hint="eastAsia" w:ascii="仿宋_GB2312" w:hAnsi="仿宋_GB2312" w:eastAsia="仿宋_GB2312" w:cs="仿宋_GB2312"/>
          <w:color w:val="auto"/>
          <w:sz w:val="32"/>
          <w:szCs w:val="32"/>
          <w:shd w:val="clear" w:color="auto" w:fill="auto"/>
        </w:rPr>
        <w:t>唯</w:t>
      </w:r>
      <w:r>
        <w:rPr>
          <w:rFonts w:hint="eastAsia" w:ascii="仿宋_GB2312" w:hAnsi="仿宋_GB2312" w:eastAsia="仿宋_GB2312" w:cs="仿宋_GB2312"/>
          <w:color w:val="auto"/>
          <w:sz w:val="32"/>
          <w:szCs w:val="32"/>
        </w:rPr>
        <w:t>升学”单一评价倾向，促进学生德智体美劳全面发展。严格学业标准，完善过程性考核与结果性考核有机结合的学业考评制度。</w:t>
      </w:r>
    </w:p>
    <w:p>
      <w:pPr>
        <w:keepNext w:val="0"/>
        <w:keepLines w:val="0"/>
        <w:pageBreakBefore w:val="0"/>
        <w:widowControl w:val="0"/>
        <w:kinsoku/>
        <w:wordWrap/>
        <w:overflowPunct/>
        <w:topLinePunct w:val="0"/>
        <w:autoSpaceDE/>
        <w:autoSpaceDN/>
        <w:bidi w:val="0"/>
        <w:adjustRightInd/>
        <w:snapToGrid/>
        <w:spacing w:after="156" w:afterLines="50" w:line="53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eastAsia" w:ascii="仿宋_GB2312" w:hAnsi="仿宋_GB2312" w:eastAsia="仿宋_GB2312" w:cs="仿宋_GB2312"/>
          <w:b/>
          <w:bCs/>
          <w:color w:val="auto"/>
          <w:sz w:val="32"/>
          <w:szCs w:val="32"/>
          <w:lang w:eastAsia="zh-CN"/>
        </w:rPr>
        <w:t>实施以提升</w:t>
      </w:r>
      <w:r>
        <w:rPr>
          <w:rFonts w:hint="eastAsia" w:ascii="仿宋_GB2312" w:hAnsi="仿宋_GB2312" w:eastAsia="仿宋_GB2312" w:cs="仿宋_GB2312"/>
          <w:b/>
          <w:bCs/>
          <w:color w:val="auto"/>
          <w:sz w:val="32"/>
          <w:szCs w:val="32"/>
          <w:lang w:val="en-US" w:eastAsia="zh-CN"/>
        </w:rPr>
        <w:t>专业化水准为导向</w:t>
      </w:r>
      <w:r>
        <w:rPr>
          <w:rFonts w:hint="eastAsia" w:ascii="仿宋_GB2312" w:hAnsi="仿宋_GB2312" w:eastAsia="仿宋_GB2312" w:cs="仿宋_GB2312"/>
          <w:b/>
          <w:bCs/>
          <w:color w:val="auto"/>
          <w:sz w:val="32"/>
          <w:szCs w:val="32"/>
          <w:lang w:eastAsia="zh-CN"/>
        </w:rPr>
        <w:t>的社会评价。</w:t>
      </w:r>
      <w:r>
        <w:rPr>
          <w:rFonts w:hint="eastAsia" w:ascii="仿宋_GB2312" w:hAnsi="仿宋_GB2312" w:eastAsia="仿宋_GB2312" w:cs="仿宋_GB2312"/>
          <w:color w:val="auto"/>
          <w:sz w:val="32"/>
          <w:szCs w:val="32"/>
          <w:lang w:val="en-US" w:eastAsia="zh-CN"/>
        </w:rPr>
        <w:t>大力培育专业教育服务和咨询机构，让行业协会、专业学会、基金会等各类社会组织和第三方专业评估组织积极发挥在教育评价中的独立专业主体作用。根据评价的目的、类型和内容等不同，引入市场机制，通过购买服务的形式，委托第三方教育组织进行专业化评价。</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0" w:type="dxa"/>
            <w:noWrap w:val="0"/>
            <w:vAlign w:val="center"/>
          </w:tcPr>
          <w:p>
            <w:pPr>
              <w:spacing w:line="400" w:lineRule="exact"/>
              <w:jc w:val="center"/>
              <w:rPr>
                <w:rFonts w:ascii="Times New Roman" w:hAnsi="Times New Roman" w:eastAsia="仿宋_GB2312" w:cs="Times New Roman"/>
                <w:b/>
                <w:bCs/>
                <w:color w:val="auto"/>
                <w:sz w:val="32"/>
                <w:szCs w:val="40"/>
                <w:lang w:eastAsia="en-US"/>
              </w:rPr>
            </w:pPr>
            <w:r>
              <w:rPr>
                <w:rFonts w:ascii="Times New Roman" w:hAnsi="Times New Roman" w:eastAsia="仿宋" w:cs="Times New Roman"/>
                <w:b/>
                <w:bCs/>
                <w:color w:val="auto"/>
                <w:sz w:val="28"/>
                <w:szCs w:val="36"/>
                <w:lang w:eastAsia="en-US"/>
              </w:rPr>
              <w:t>专栏</w:t>
            </w:r>
            <w:r>
              <w:rPr>
                <w:rFonts w:hint="eastAsia" w:ascii="Times New Roman" w:hAnsi="Times New Roman" w:eastAsia="仿宋" w:cs="Times New Roman"/>
                <w:b/>
                <w:bCs/>
                <w:color w:val="auto"/>
                <w:sz w:val="28"/>
                <w:szCs w:val="36"/>
                <w:lang w:eastAsia="en-US"/>
              </w:rPr>
              <w:t>1</w:t>
            </w:r>
            <w:r>
              <w:rPr>
                <w:rFonts w:hint="eastAsia" w:ascii="Times New Roman" w:hAnsi="Times New Roman" w:eastAsia="仿宋" w:cs="Times New Roman"/>
                <w:b/>
                <w:bCs/>
                <w:color w:val="auto"/>
                <w:sz w:val="28"/>
                <w:szCs w:val="36"/>
                <w:lang w:val="en-US" w:eastAsia="zh-CN"/>
              </w:rPr>
              <w:t>6</w:t>
            </w:r>
            <w:r>
              <w:rPr>
                <w:rFonts w:ascii="Times New Roman" w:hAnsi="Times New Roman" w:eastAsia="仿宋" w:cs="Times New Roman"/>
                <w:b/>
                <w:bCs/>
                <w:color w:val="auto"/>
                <w:sz w:val="28"/>
                <w:szCs w:val="36"/>
                <w:lang w:eastAsia="en-US"/>
              </w:rPr>
              <w:t xml:space="preserve"> 推进落实新时代教育评价改革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noWrap w:val="0"/>
            <w:vAlign w:val="top"/>
          </w:tcPr>
          <w:p>
            <w:pPr>
              <w:spacing w:line="400" w:lineRule="exact"/>
              <w:ind w:firstLine="480" w:firstLineChars="200"/>
              <w:rPr>
                <w:rFonts w:ascii="Times New Roman" w:hAnsi="Times New Roman" w:eastAsia="仿宋_GB2312" w:cs="Times New Roman"/>
                <w:b/>
                <w:bCs/>
                <w:color w:val="auto"/>
                <w:sz w:val="32"/>
                <w:szCs w:val="40"/>
                <w:lang w:eastAsia="en-US"/>
              </w:rPr>
            </w:pPr>
            <w:r>
              <w:rPr>
                <w:rFonts w:hint="eastAsia" w:ascii="仿宋_GB2312" w:hAnsi="仿宋_GB2312" w:eastAsia="仿宋_GB2312" w:cs="仿宋_GB2312"/>
                <w:color w:val="auto"/>
                <w:sz w:val="24"/>
                <w:szCs w:val="24"/>
                <w:lang w:eastAsia="en-US"/>
              </w:rPr>
              <w:t>印发《茂名市深化新时代教育评价改革任务分工方案》及《负面清单》《工作任务清单》，推动各地各校各有关部门强化清单管理。对标对表“不得”“禁止”“克服”“纠正”等事项，对各项规章制度进行全面清理。开展专项课题研究，深化理论指引和专业支撑。总结宣传和推广各地各校评价改革的成功经验，开展典型案例评选和宣传推介，扩大改革辐射面、受益面。</w:t>
            </w:r>
          </w:p>
        </w:tc>
      </w:tr>
    </w:tbl>
    <w:p>
      <w:pPr>
        <w:pStyle w:val="4"/>
        <w:keepNext/>
        <w:keepLines/>
        <w:pageBreakBefore w:val="0"/>
        <w:widowControl w:val="0"/>
        <w:kinsoku/>
        <w:wordWrap/>
        <w:overflowPunct/>
        <w:topLinePunct w:val="0"/>
        <w:autoSpaceDE/>
        <w:autoSpaceDN/>
        <w:bidi w:val="0"/>
        <w:adjustRightInd/>
        <w:snapToGrid/>
        <w:spacing w:before="156" w:beforeLines="50" w:after="156" w:afterLines="50" w:line="520" w:lineRule="exact"/>
        <w:jc w:val="center"/>
        <w:textAlignment w:val="auto"/>
        <w:rPr>
          <w:rFonts w:ascii="黑体" w:hAnsi="黑体" w:eastAsia="黑体" w:cs="黑体"/>
          <w:b w:val="0"/>
          <w:bCs w:val="0"/>
          <w:color w:val="auto"/>
          <w:kern w:val="0"/>
        </w:rPr>
      </w:pPr>
      <w:bookmarkStart w:id="73" w:name="_Toc98694812"/>
      <w:bookmarkStart w:id="74" w:name="_Toc1003129236_WPSOffice_Level2"/>
      <w:bookmarkStart w:id="75" w:name="_Toc172469946_WPSOffice_Level2"/>
      <w:r>
        <w:rPr>
          <w:rFonts w:hint="eastAsia" w:ascii="黑体" w:hAnsi="黑体" w:eastAsia="黑体" w:cs="黑体"/>
          <w:b w:val="0"/>
          <w:bCs w:val="0"/>
          <w:color w:val="auto"/>
          <w:kern w:val="0"/>
        </w:rPr>
        <w:t>第二节 深化办学体制和管理体制改革</w:t>
      </w:r>
      <w:bookmarkEnd w:id="73"/>
      <w:bookmarkEnd w:id="74"/>
      <w:bookmarkEnd w:id="75"/>
    </w:p>
    <w:p>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推进依法治教、依法治校，全面深化教育领域“放管</w:t>
      </w:r>
      <w:r>
        <w:rPr>
          <w:rFonts w:hint="eastAsia" w:ascii="仿宋_GB2312" w:hAnsi="仿宋_GB2312" w:eastAsia="仿宋_GB2312" w:cs="仿宋_GB2312"/>
          <w:color w:val="auto"/>
          <w:sz w:val="32"/>
          <w:szCs w:val="32"/>
          <w:shd w:val="clear" w:color="auto" w:fill="auto"/>
        </w:rPr>
        <w:t>服</w:t>
      </w:r>
      <w:r>
        <w:rPr>
          <w:rFonts w:hint="eastAsia" w:ascii="仿宋_GB2312" w:hAnsi="仿宋_GB2312" w:eastAsia="仿宋_GB2312" w:cs="仿宋_GB2312"/>
          <w:color w:val="auto"/>
          <w:sz w:val="32"/>
          <w:szCs w:val="32"/>
        </w:rPr>
        <w:t>”改革，激发办学内生动力，推进教育治理体系和治理能力现代化。</w:t>
      </w:r>
    </w:p>
    <w:p>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提升依法治教、依法治校能力。</w:t>
      </w:r>
      <w:r>
        <w:rPr>
          <w:rFonts w:hint="eastAsia" w:ascii="仿宋_GB2312" w:hAnsi="仿宋_GB2312" w:eastAsia="仿宋_GB2312" w:cs="仿宋_GB2312"/>
          <w:color w:val="auto"/>
          <w:sz w:val="32"/>
          <w:szCs w:val="32"/>
        </w:rPr>
        <w:t>健全学校重大决策合法性审查制度，完善学校依法决策、依法自主办学机制及安全风险防控机制，持续推进依法治校示范校建设。健全中小学校党组织办学治校主体责任，发挥中小学党组织在学校治理中的政治核心作用。健全以章程为核心的现代学校规章制度体系，全面实现学校依法依章程自主办学。完善学校内部治理结构，加强学校信息公开工作。完善学校法律顾问和法治副校长选聘工作，激励法治副校长履职尽责。深入开展师生法治教育，努力让每位</w:t>
      </w:r>
      <w:r>
        <w:rPr>
          <w:rFonts w:hint="eastAsia" w:ascii="仿宋_GB2312" w:hAnsi="仿宋_GB2312" w:eastAsia="仿宋_GB2312" w:cs="仿宋_GB2312"/>
          <w:color w:val="auto"/>
          <w:sz w:val="32"/>
          <w:szCs w:val="32"/>
          <w:highlight w:val="none"/>
        </w:rPr>
        <w:t>中小学生</w:t>
      </w:r>
      <w:r>
        <w:rPr>
          <w:rFonts w:hint="eastAsia" w:ascii="仿宋_GB2312" w:hAnsi="仿宋_GB2312" w:eastAsia="仿宋_GB2312" w:cs="仿宋_GB2312"/>
          <w:color w:val="auto"/>
          <w:sz w:val="32"/>
          <w:szCs w:val="32"/>
        </w:rPr>
        <w:t>每年接受不少于5课时的法治教育培训。健全教师、学生申诉维权制度，依法完善师生合法权益保护机制，切实维护师生合法权益。</w:t>
      </w:r>
    </w:p>
    <w:p>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深化教育领域“放管</w:t>
      </w:r>
      <w:r>
        <w:rPr>
          <w:rFonts w:hint="eastAsia" w:ascii="仿宋_GB2312" w:hAnsi="仿宋_GB2312" w:eastAsia="仿宋_GB2312" w:cs="仿宋_GB2312"/>
          <w:b/>
          <w:bCs/>
          <w:color w:val="auto"/>
          <w:sz w:val="32"/>
          <w:szCs w:val="32"/>
          <w:shd w:val="clear" w:color="auto" w:fill="auto"/>
        </w:rPr>
        <w:t>服</w:t>
      </w:r>
      <w:r>
        <w:rPr>
          <w:rFonts w:hint="eastAsia" w:ascii="仿宋_GB2312" w:hAnsi="仿宋_GB2312" w:eastAsia="仿宋_GB2312" w:cs="仿宋_GB2312"/>
          <w:b/>
          <w:bCs/>
          <w:color w:val="auto"/>
          <w:sz w:val="32"/>
          <w:szCs w:val="32"/>
        </w:rPr>
        <w:t>”改革。</w:t>
      </w:r>
      <w:r>
        <w:rPr>
          <w:rFonts w:hint="eastAsia" w:ascii="仿宋_GB2312" w:hAnsi="仿宋_GB2312" w:eastAsia="仿宋_GB2312" w:cs="仿宋_GB2312"/>
          <w:color w:val="auto"/>
          <w:sz w:val="32"/>
          <w:szCs w:val="32"/>
        </w:rPr>
        <w:t>继续落实和扩大学校办学自主权。完善教育行政审批管理制度，最大限度取消和下放行政审批事项，简化确需保留项目的审批流程。减少对学校办学行为的行政干预，综合运用法律、政策、规划、财政拨款、标准、信息服务和必要的行政措施，提高学校办学治校水平。加强事中事后监管，创新监管方式和手段，完善信用机制，大力推进“双随机、一公开”，加强行政执法、督导和第三方评估。为学校提供必要的专业性指导和服务，加强教学指导、教师培训、就业信息、质量监测评估诊断、教育教学资源等方面服务。创新提供公共教育服务方式，健全政府购买教育服务机制，提高公共教育服务质量。</w:t>
      </w:r>
    </w:p>
    <w:p>
      <w:pPr>
        <w:pStyle w:val="4"/>
        <w:pageBreakBefore w:val="0"/>
        <w:widowControl w:val="0"/>
        <w:kinsoku/>
        <w:wordWrap/>
        <w:overflowPunct/>
        <w:topLinePunct w:val="0"/>
        <w:autoSpaceDE/>
        <w:autoSpaceDN/>
        <w:bidi w:val="0"/>
        <w:adjustRightInd/>
        <w:snapToGrid/>
        <w:spacing w:before="156" w:beforeLines="50" w:after="156" w:afterLines="50" w:line="540" w:lineRule="exact"/>
        <w:jc w:val="center"/>
        <w:textAlignment w:val="auto"/>
        <w:rPr>
          <w:rFonts w:ascii="黑体" w:hAnsi="黑体" w:eastAsia="黑体" w:cs="黑体"/>
          <w:b w:val="0"/>
          <w:bCs w:val="0"/>
          <w:color w:val="auto"/>
          <w:kern w:val="0"/>
        </w:rPr>
      </w:pPr>
      <w:bookmarkStart w:id="76" w:name="_Toc98694813"/>
      <w:bookmarkStart w:id="77" w:name="_Toc1772072717_WPSOffice_Level2"/>
      <w:bookmarkStart w:id="78" w:name="_Toc894914471_WPSOffice_Level2"/>
      <w:r>
        <w:rPr>
          <w:rFonts w:hint="eastAsia" w:ascii="黑体" w:hAnsi="黑体" w:eastAsia="黑体" w:cs="黑体"/>
          <w:b w:val="0"/>
          <w:bCs w:val="0"/>
          <w:color w:val="auto"/>
          <w:kern w:val="0"/>
        </w:rPr>
        <w:t>第三节 深化民办教育管理改革</w:t>
      </w:r>
      <w:bookmarkEnd w:id="76"/>
      <w:bookmarkEnd w:id="77"/>
      <w:bookmarkEnd w:id="78"/>
    </w:p>
    <w:p>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坚持教育公益性原则，积极稳妥推进民办教育分类管理改革，规范民办教育发展，加强民办学校和校外培训机构监管。</w:t>
      </w:r>
    </w:p>
    <w:p>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健全民办学校分类管理制度体系。</w:t>
      </w:r>
      <w:r>
        <w:rPr>
          <w:rFonts w:hint="eastAsia" w:ascii="仿宋_GB2312" w:hAnsi="仿宋_GB2312" w:eastAsia="仿宋_GB2312" w:cs="仿宋_GB2312"/>
          <w:color w:val="auto"/>
          <w:sz w:val="32"/>
          <w:szCs w:val="32"/>
        </w:rPr>
        <w:t>加强民办教育配套制度建设和政策引导，依法支持和规范社会力量举办民办教育。加快推进营利性和非营利性民办学校分类管理、分类发展，按照“一校一策”制定过渡实施方案，推进民办教育管理改革，支持各类民办学校规范办学、特色发展、品牌提升。理顺“公</w:t>
      </w:r>
      <w:r>
        <w:rPr>
          <w:rFonts w:hint="eastAsia" w:ascii="仿宋_GB2312" w:hAnsi="仿宋_GB2312" w:eastAsia="仿宋_GB2312" w:cs="仿宋_GB2312"/>
          <w:color w:val="auto"/>
          <w:sz w:val="32"/>
          <w:szCs w:val="32"/>
          <w:shd w:val="clear" w:color="auto" w:fill="auto"/>
        </w:rPr>
        <w:t>参</w:t>
      </w:r>
      <w:r>
        <w:rPr>
          <w:rFonts w:hint="eastAsia" w:ascii="仿宋_GB2312" w:hAnsi="仿宋_GB2312" w:eastAsia="仿宋_GB2312" w:cs="仿宋_GB2312"/>
          <w:color w:val="auto"/>
          <w:sz w:val="32"/>
          <w:szCs w:val="32"/>
        </w:rPr>
        <w:t>民”</w:t>
      </w:r>
      <w:r>
        <w:rPr>
          <w:rStyle w:val="11"/>
          <w:rFonts w:hint="eastAsia" w:ascii="仿宋_GB2312" w:hAnsi="仿宋_GB2312" w:eastAsia="仿宋_GB2312" w:cs="仿宋_GB2312"/>
          <w:color w:val="auto"/>
          <w:sz w:val="32"/>
          <w:szCs w:val="32"/>
        </w:rPr>
        <w:footnoteReference w:id="7"/>
      </w:r>
      <w:r>
        <w:rPr>
          <w:rFonts w:hint="eastAsia" w:ascii="仿宋_GB2312" w:hAnsi="仿宋_GB2312" w:eastAsia="仿宋_GB2312" w:cs="仿宋_GB2312"/>
          <w:color w:val="auto"/>
          <w:sz w:val="32"/>
          <w:szCs w:val="32"/>
        </w:rPr>
        <w:t>学校体制机制。清理规范民办学校名称，落实民办学校分类登记，指导民办学校完成财务清算和财产权属确认工作，落实国家规定的民办学校税收优惠政策。健全民办学校退出机制，依法保障各方合法权益。</w:t>
      </w:r>
    </w:p>
    <w:p>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加大民办学校分类发展支持力度。</w:t>
      </w:r>
      <w:r>
        <w:rPr>
          <w:rFonts w:hint="eastAsia" w:ascii="仿宋_GB2312" w:hAnsi="仿宋_GB2312" w:eastAsia="仿宋_GB2312" w:cs="仿宋_GB2312"/>
          <w:color w:val="auto"/>
          <w:sz w:val="32"/>
          <w:szCs w:val="32"/>
        </w:rPr>
        <w:t>建立联席会议制度，加强部门协同配合，及时破解制约民办学校用地、基建、税费等制度性障碍。提高政府对民办学校发展的规划和服务能力，构建覆盖财政、税收、土地、住房、金融等多个领域的差异化扶持政策体系。完善吸引社会捐资办学的税收激励机制，鼓励捐资举办高水平非营利性民办学校。多渠道加大对非营利性民办学校扶持力度。完善民办学校帮扶、奖励和表彰制度，营造鼓励支持民办教育健康发展的良好社会氛围。</w:t>
      </w:r>
    </w:p>
    <w:p>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完善民办学校分类监督管理机制。</w:t>
      </w:r>
      <w:r>
        <w:rPr>
          <w:rFonts w:hint="eastAsia" w:ascii="仿宋_GB2312" w:hAnsi="仿宋_GB2312" w:eastAsia="仿宋_GB2312" w:cs="仿宋_GB2312"/>
          <w:color w:val="auto"/>
          <w:sz w:val="32"/>
          <w:szCs w:val="32"/>
        </w:rPr>
        <w:t>加强民办教育管理力量，改进管理方式，强化过程监管和社会监督，重点加强民办义务教育学校管理。以章程建设为抓手，引导民办学校优化内部治理体系，明确理（董）事会、党组织、举办者、校长等主体权责边界。加强财务监管，利用信息技术和大数据平台，实现对所有资金流转过程的全程追踪。健全联合执法机制，加大对违法违规办学行为的查处力度。推进管办评分离，发挥社会行业组织作用，建立健全民办学校第三方质量认证和评估制度。</w:t>
      </w:r>
    </w:p>
    <w:p>
      <w:pPr>
        <w:pageBreakBefore w:val="0"/>
        <w:widowControl w:val="0"/>
        <w:kinsoku/>
        <w:wordWrap/>
        <w:overflowPunct/>
        <w:topLinePunct w:val="0"/>
        <w:autoSpaceDE/>
        <w:autoSpaceDN/>
        <w:bidi w:val="0"/>
        <w:adjustRightInd/>
        <w:snapToGrid/>
        <w:spacing w:after="156" w:afterLines="50"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全面加强校外培训机构监管。</w:t>
      </w:r>
      <w:r>
        <w:rPr>
          <w:rFonts w:hint="eastAsia" w:ascii="仿宋_GB2312" w:hAnsi="仿宋_GB2312" w:eastAsia="仿宋_GB2312" w:cs="仿宋_GB2312"/>
          <w:color w:val="auto"/>
          <w:sz w:val="32"/>
          <w:szCs w:val="32"/>
        </w:rPr>
        <w:t>完善校外教育培训机构监管制度体系。依法管理校外教育培训机构，坚持从严</w:t>
      </w:r>
      <w:r>
        <w:rPr>
          <w:rFonts w:hint="eastAsia" w:ascii="仿宋_GB2312" w:hAnsi="仿宋_GB2312" w:eastAsia="仿宋_GB2312" w:cs="仿宋_GB2312"/>
          <w:color w:val="auto"/>
          <w:sz w:val="32"/>
          <w:szCs w:val="32"/>
          <w:lang w:eastAsia="zh-CN"/>
        </w:rPr>
        <w:t>审批</w:t>
      </w:r>
      <w:r>
        <w:rPr>
          <w:rFonts w:hint="eastAsia" w:ascii="仿宋_GB2312" w:hAnsi="仿宋_GB2312" w:eastAsia="仿宋_GB2312" w:cs="仿宋_GB2312"/>
          <w:color w:val="auto"/>
          <w:sz w:val="32"/>
          <w:szCs w:val="32"/>
        </w:rPr>
        <w:t>，规范培训秩序，</w:t>
      </w:r>
      <w:r>
        <w:rPr>
          <w:rFonts w:hint="eastAsia" w:ascii="仿宋_GB2312" w:hAnsi="仿宋_GB2312" w:eastAsia="仿宋_GB2312" w:cs="仿宋_GB2312"/>
          <w:color w:val="auto"/>
          <w:sz w:val="32"/>
          <w:szCs w:val="32"/>
          <w:lang w:eastAsia="zh-CN"/>
        </w:rPr>
        <w:t>巩固学科类培训治理成果，加强非学科类培训机构监管。</w:t>
      </w:r>
      <w:r>
        <w:rPr>
          <w:rFonts w:hint="eastAsia" w:ascii="仿宋_GB2312" w:hAnsi="仿宋_GB2312" w:eastAsia="仿宋_GB2312" w:cs="仿宋_GB2312"/>
          <w:color w:val="auto"/>
          <w:sz w:val="32"/>
          <w:szCs w:val="32"/>
        </w:rPr>
        <w:t>适时合理制定或调整义务教育阶段线下学科类校外培训收费标准，加强预收费监管。健全联合执法机制，严肃查处不符合资质、管理混乱、借机敛财、虚假宣传、与学校勾连牟利等违法违规</w:t>
      </w:r>
      <w:r>
        <w:rPr>
          <w:rFonts w:hint="eastAsia" w:ascii="仿宋_GB2312" w:hAnsi="仿宋_GB2312" w:eastAsia="仿宋_GB2312" w:cs="仿宋_GB2312"/>
          <w:color w:val="auto"/>
          <w:sz w:val="32"/>
          <w:szCs w:val="32"/>
          <w:lang w:eastAsia="zh-CN"/>
        </w:rPr>
        <w:t>培训</w:t>
      </w:r>
      <w:r>
        <w:rPr>
          <w:rFonts w:hint="eastAsia" w:ascii="仿宋_GB2312" w:hAnsi="仿宋_GB2312" w:eastAsia="仿宋_GB2312" w:cs="仿宋_GB2312"/>
          <w:color w:val="auto"/>
          <w:sz w:val="32"/>
          <w:szCs w:val="32"/>
        </w:rPr>
        <w:t>行为。</w:t>
      </w:r>
    </w:p>
    <w:p>
      <w:pPr>
        <w:pStyle w:val="2"/>
        <w:rPr>
          <w:rFonts w:hint="eastAsia" w:ascii="Times New Roman" w:hAnsi="Times New Roman" w:eastAsia="宋体" w:cs="Times New Roman"/>
          <w:color w:val="auto"/>
          <w:sz w:val="20"/>
          <w:szCs w:val="20"/>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060" w:type="dxa"/>
            <w:noWrap w:val="0"/>
            <w:vAlign w:val="top"/>
          </w:tcPr>
          <w:p>
            <w:pPr>
              <w:spacing w:line="400" w:lineRule="exact"/>
              <w:jc w:val="center"/>
              <w:rPr>
                <w:rFonts w:ascii="Times New Roman" w:hAnsi="Times New Roman" w:eastAsia="仿宋" w:cs="仿宋"/>
                <w:b/>
                <w:bCs/>
                <w:color w:val="auto"/>
                <w:sz w:val="24"/>
                <w:szCs w:val="24"/>
                <w:lang w:eastAsia="en-US"/>
              </w:rPr>
            </w:pPr>
            <w:r>
              <w:rPr>
                <w:rFonts w:hint="eastAsia" w:ascii="Times New Roman" w:hAnsi="Times New Roman" w:eastAsia="仿宋" w:cs="仿宋"/>
                <w:b/>
                <w:bCs/>
                <w:color w:val="auto"/>
                <w:sz w:val="28"/>
                <w:szCs w:val="28"/>
                <w:lang w:eastAsia="en-US"/>
              </w:rPr>
              <w:t>专栏1</w:t>
            </w:r>
            <w:r>
              <w:rPr>
                <w:rFonts w:hint="eastAsia" w:ascii="Times New Roman" w:hAnsi="Times New Roman" w:eastAsia="仿宋" w:cs="仿宋"/>
                <w:b/>
                <w:bCs/>
                <w:color w:val="auto"/>
                <w:sz w:val="28"/>
                <w:szCs w:val="28"/>
                <w:lang w:val="en-US" w:eastAsia="zh-CN"/>
              </w:rPr>
              <w:t>7</w:t>
            </w:r>
            <w:r>
              <w:rPr>
                <w:rFonts w:hint="eastAsia" w:ascii="Times New Roman" w:hAnsi="Times New Roman" w:eastAsia="仿宋" w:cs="仿宋"/>
                <w:b/>
                <w:bCs/>
                <w:color w:val="auto"/>
                <w:sz w:val="28"/>
                <w:szCs w:val="28"/>
                <w:lang w:eastAsia="en-US"/>
              </w:rPr>
              <w:t xml:space="preserve"> 民办学校规范达标和品牌提升计划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8" w:hRule="atLeast"/>
        </w:trPr>
        <w:tc>
          <w:tcPr>
            <w:tcW w:w="9060" w:type="dxa"/>
            <w:noWrap w:val="0"/>
            <w:vAlign w:val="top"/>
          </w:tcPr>
          <w:p>
            <w:pPr>
              <w:spacing w:line="400" w:lineRule="exact"/>
              <w:ind w:firstLine="480" w:firstLineChars="200"/>
              <w:rPr>
                <w:rFonts w:hint="eastAsia" w:ascii="仿宋_GB2312" w:hAnsi="仿宋_GB2312" w:eastAsia="仿宋_GB2312" w:cs="仿宋_GB2312"/>
                <w:color w:val="auto"/>
                <w:sz w:val="24"/>
                <w:szCs w:val="24"/>
                <w:lang w:eastAsia="en-US"/>
              </w:rPr>
            </w:pPr>
            <w:r>
              <w:rPr>
                <w:rFonts w:hint="eastAsia" w:ascii="仿宋_GB2312" w:hAnsi="仿宋_GB2312" w:eastAsia="仿宋_GB2312" w:cs="仿宋_GB2312"/>
                <w:b/>
                <w:bCs/>
                <w:color w:val="auto"/>
                <w:sz w:val="24"/>
                <w:szCs w:val="24"/>
                <w:lang w:eastAsia="en-US"/>
              </w:rPr>
              <w:t>1.推进民办学校规范达标。</w:t>
            </w:r>
            <w:r>
              <w:rPr>
                <w:rFonts w:hint="eastAsia" w:ascii="仿宋_GB2312" w:hAnsi="仿宋_GB2312" w:eastAsia="仿宋_GB2312" w:cs="仿宋_GB2312"/>
                <w:color w:val="auto"/>
                <w:sz w:val="24"/>
                <w:szCs w:val="24"/>
                <w:lang w:eastAsia="en-US"/>
              </w:rPr>
              <w:t>推动全市民办学校落实和加强办学投入，规范办学行为，实现基本办学条件全达标。加强民办学校党建工作，落实民办学校党的组织和党的工作全覆盖。建立现代学校制度，完善以学校章程为核心的规章制度体系，保障校长依法独立行使职权，严格规范重大事项变更程序，严格落实考试招生制度。依法落实民办学校法人财产权，全市民办学校资产过户率达100%。加强学校资产财务制度和管理信息系统建设，健全办学风险评估与预警机制。规范公办学校参与举办民办学校。</w:t>
            </w:r>
          </w:p>
          <w:p>
            <w:pPr>
              <w:spacing w:line="400" w:lineRule="exact"/>
              <w:ind w:firstLine="480" w:firstLineChars="200"/>
              <w:rPr>
                <w:rFonts w:ascii="Times New Roman" w:hAnsi="Times New Roman" w:eastAsia="仿宋" w:cs="仿宋"/>
                <w:b/>
                <w:bCs/>
                <w:color w:val="auto"/>
                <w:sz w:val="24"/>
                <w:szCs w:val="24"/>
                <w:lang w:eastAsia="en-US"/>
              </w:rPr>
            </w:pPr>
            <w:r>
              <w:rPr>
                <w:rFonts w:hint="eastAsia" w:ascii="仿宋_GB2312" w:hAnsi="仿宋_GB2312" w:eastAsia="仿宋_GB2312" w:cs="仿宋_GB2312"/>
                <w:b/>
                <w:bCs/>
                <w:color w:val="auto"/>
                <w:sz w:val="24"/>
                <w:szCs w:val="24"/>
                <w:lang w:eastAsia="en-US"/>
              </w:rPr>
              <w:t>2.设立民办学校品牌建设专项工程。</w:t>
            </w:r>
            <w:r>
              <w:rPr>
                <w:rFonts w:hint="eastAsia" w:ascii="仿宋_GB2312" w:hAnsi="仿宋_GB2312" w:eastAsia="仿宋_GB2312" w:cs="仿宋_GB2312"/>
                <w:color w:val="auto"/>
                <w:sz w:val="24"/>
                <w:szCs w:val="24"/>
                <w:lang w:eastAsia="en-US"/>
              </w:rPr>
              <w:t>遴选建设总量占比不低于10%的民办品牌幼儿园、民办中小学品牌特色课程、民办普通高中特色示范校和民办品牌学科、专业、课程，形成一批高水平特色民办学校。加强民办中小学（幼儿园）教科研平台建设。支持民办高校建设重点学科、重点实验室、工程技术研究中心等科研创新平台。</w:t>
            </w:r>
          </w:p>
        </w:tc>
      </w:tr>
    </w:tbl>
    <w:p>
      <w:pPr>
        <w:pStyle w:val="4"/>
        <w:keepNext/>
        <w:keepLines/>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cs="黑体"/>
          <w:b w:val="0"/>
          <w:bCs w:val="0"/>
          <w:color w:val="auto"/>
          <w:kern w:val="0"/>
        </w:rPr>
      </w:pPr>
      <w:bookmarkStart w:id="79" w:name="_Toc1066625461_WPSOffice_Level2"/>
      <w:bookmarkStart w:id="80" w:name="_Toc821092168_WPSOffice_Level2"/>
      <w:bookmarkStart w:id="81" w:name="_Toc98694814"/>
      <w:r>
        <w:rPr>
          <w:rFonts w:hint="eastAsia" w:ascii="黑体" w:hAnsi="黑体" w:eastAsia="黑体" w:cs="黑体"/>
          <w:b w:val="0"/>
          <w:bCs w:val="0"/>
          <w:color w:val="auto"/>
          <w:kern w:val="0"/>
        </w:rPr>
        <w:t>第四节 深化考试招生制度改革</w:t>
      </w:r>
      <w:bookmarkEnd w:id="79"/>
      <w:bookmarkEnd w:id="80"/>
      <w:bookmarkEnd w:id="81"/>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坚持有利于科学选拔人才、促进学生健康发展、维护教育公平的原则，深化考试招生制度改革，积极推动素质教育和创新人才培养。</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完善义务教育招生入学制度。</w:t>
      </w:r>
      <w:r>
        <w:rPr>
          <w:rFonts w:hint="eastAsia" w:ascii="仿宋_GB2312" w:hAnsi="仿宋_GB2312" w:eastAsia="仿宋_GB2312" w:cs="仿宋_GB2312"/>
          <w:color w:val="auto"/>
          <w:sz w:val="32"/>
          <w:szCs w:val="40"/>
        </w:rPr>
        <w:t>推进义务教育学校免试就近入学全覆盖，依法保障适龄儿童入学权利。小学一般采取按地段对口方式入学，初中一般采取按地段对口或电脑派位摇号等方式入学。</w:t>
      </w:r>
      <w:r>
        <w:rPr>
          <w:rFonts w:hint="eastAsia" w:ascii="仿宋_GB2312" w:hAnsi="仿宋_GB2312" w:eastAsia="仿宋_GB2312" w:cs="仿宋_GB2312"/>
          <w:color w:val="auto"/>
          <w:sz w:val="32"/>
          <w:szCs w:val="40"/>
          <w:lang w:eastAsia="zh-CN"/>
        </w:rPr>
        <w:t>坚持“公民同</w:t>
      </w:r>
      <w:r>
        <w:rPr>
          <w:rFonts w:hint="eastAsia" w:ascii="仿宋_GB2312" w:hAnsi="仿宋_GB2312" w:eastAsia="仿宋_GB2312" w:cs="仿宋_GB2312"/>
          <w:color w:val="auto"/>
          <w:sz w:val="32"/>
          <w:szCs w:val="40"/>
          <w:shd w:val="clear" w:color="auto" w:fill="auto"/>
          <w:lang w:eastAsia="zh-CN"/>
        </w:rPr>
        <w:t>招</w:t>
      </w:r>
      <w:r>
        <w:rPr>
          <w:rFonts w:hint="eastAsia" w:ascii="仿宋_GB2312" w:hAnsi="仿宋_GB2312" w:eastAsia="仿宋_GB2312" w:cs="仿宋_GB2312"/>
          <w:color w:val="auto"/>
          <w:sz w:val="32"/>
          <w:szCs w:val="40"/>
          <w:lang w:eastAsia="zh-CN"/>
        </w:rPr>
        <w:t>”，</w:t>
      </w:r>
      <w:r>
        <w:rPr>
          <w:rFonts w:hint="eastAsia" w:ascii="仿宋_GB2312" w:hAnsi="仿宋_GB2312" w:eastAsia="仿宋_GB2312" w:cs="仿宋_GB2312"/>
          <w:color w:val="auto"/>
          <w:sz w:val="32"/>
          <w:szCs w:val="40"/>
        </w:rPr>
        <w:t>规范民办义务教育学校招生入学，招生纳入审批地统一管理。对报名人数超过招生计划数的民办学校，全部实行电脑随机摇号录取。</w:t>
      </w:r>
    </w:p>
    <w:p>
      <w:pPr>
        <w:pStyle w:val="2"/>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b/>
          <w:bCs/>
          <w:color w:val="auto"/>
          <w:sz w:val="32"/>
          <w:szCs w:val="40"/>
        </w:rPr>
        <w:t>扎实推进初中学业水平考试制度。</w:t>
      </w:r>
      <w:r>
        <w:rPr>
          <w:rFonts w:hint="eastAsia" w:ascii="仿宋_GB2312" w:hAnsi="仿宋_GB2312" w:eastAsia="仿宋_GB2312" w:cs="仿宋_GB2312"/>
          <w:color w:val="auto"/>
          <w:sz w:val="32"/>
          <w:szCs w:val="40"/>
        </w:rPr>
        <w:t>全面实施中小学生艺术素质测评。改进中考体育测试内容、方式和计分办法，科学确定提高分值占比。2023年前将理化生实验操作纳入初中学业水平考试，理化生实验分值占每门科目的10%。规范中考自主招生和加分项目及分值。到2023年基本形成基于初中学业水平考试成绩、结合初中学生综合素质评价的高中阶段学校考试招生录取模式。</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深化高中阶段学校考试招生制度改革。</w:t>
      </w:r>
      <w:r>
        <w:rPr>
          <w:rFonts w:hint="eastAsia" w:ascii="仿宋_GB2312" w:hAnsi="仿宋_GB2312" w:eastAsia="仿宋_GB2312" w:cs="仿宋_GB2312"/>
          <w:color w:val="auto"/>
          <w:sz w:val="32"/>
          <w:szCs w:val="40"/>
        </w:rPr>
        <w:t>严格落实普通高中学业水平考试制度改革方案，逐步完善普通高中体育与健康等科目学业水平考试实施办法。优质高中不低于50%的招生计划合理分配到</w:t>
      </w:r>
      <w:r>
        <w:rPr>
          <w:rFonts w:hint="eastAsia" w:ascii="仿宋_GB2312" w:hAnsi="仿宋_GB2312" w:eastAsia="仿宋_GB2312" w:cs="仿宋_GB2312"/>
          <w:color w:val="auto"/>
          <w:sz w:val="32"/>
          <w:szCs w:val="40"/>
          <w:shd w:val="clear" w:color="auto" w:fill="auto"/>
          <w:lang w:eastAsia="zh-CN"/>
        </w:rPr>
        <w:t>当地辖区内</w:t>
      </w:r>
      <w:r>
        <w:rPr>
          <w:rFonts w:hint="eastAsia" w:ascii="仿宋_GB2312" w:hAnsi="仿宋_GB2312" w:eastAsia="仿宋_GB2312" w:cs="仿宋_GB2312"/>
          <w:color w:val="auto"/>
          <w:sz w:val="32"/>
          <w:szCs w:val="40"/>
        </w:rPr>
        <w:t>初中，并适当向薄弱初中、农村初中倾斜，不得设置“限制性”录取分数线。公办学校面向具有学科特长、创新潜质的学生实行自主招生比例控制在学校年度招生计划的10%以内。</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b/>
          <w:bCs/>
          <w:color w:val="auto"/>
          <w:sz w:val="32"/>
          <w:szCs w:val="40"/>
          <w:lang w:val="en-US" w:eastAsia="zh-CN"/>
        </w:rPr>
        <w:t>推进</w:t>
      </w:r>
      <w:r>
        <w:rPr>
          <w:rFonts w:hint="eastAsia" w:ascii="仿宋_GB2312" w:hAnsi="仿宋_GB2312" w:eastAsia="仿宋_GB2312" w:cs="仿宋_GB2312"/>
          <w:b/>
          <w:bCs/>
          <w:color w:val="auto"/>
          <w:sz w:val="32"/>
          <w:szCs w:val="40"/>
        </w:rPr>
        <w:t>技工院校招生制度改革</w:t>
      </w:r>
      <w:r>
        <w:rPr>
          <w:rFonts w:hint="eastAsia" w:ascii="仿宋_GB2312" w:hAnsi="仿宋_GB2312" w:eastAsia="仿宋_GB2312" w:cs="仿宋_GB2312"/>
          <w:b/>
          <w:bCs/>
          <w:color w:val="auto"/>
          <w:sz w:val="32"/>
          <w:szCs w:val="40"/>
          <w:lang w:eastAsia="zh-CN"/>
        </w:rPr>
        <w:t>。</w:t>
      </w:r>
      <w:r>
        <w:rPr>
          <w:rFonts w:hint="eastAsia" w:ascii="仿宋_GB2312" w:hAnsi="仿宋_GB2312" w:eastAsia="仿宋_GB2312" w:cs="仿宋_GB2312"/>
          <w:color w:val="auto"/>
          <w:sz w:val="32"/>
          <w:szCs w:val="40"/>
        </w:rPr>
        <w:t>进一步扩大招生范围，积极面向往届初高中毕业生、贫困家庭子女及劳动力、高校毕业生、农民工、新型职业农民、企业在岗职工、待岗职工、退役军人、失业人员、灵活就业人员等各类群体广泛开展招生工作。针对不同群体开设教学点或单独编班，通过选修式模块化教学、开发远程网络教学系统等方式，进行学分制和弹性学制的探索实践。把全面推行企业新型学徒制作为非全日制招生或职业培训招生的重点，鼓励企业与技工院校共同培养学徒。</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rPr>
      </w:pPr>
      <w:r>
        <w:rPr>
          <w:rFonts w:hint="eastAsia" w:ascii="仿宋_GB2312" w:hAnsi="仿宋_GB2312" w:eastAsia="仿宋_GB2312" w:cs="仿宋_GB2312"/>
          <w:b/>
          <w:bCs/>
          <w:color w:val="auto"/>
          <w:sz w:val="32"/>
          <w:szCs w:val="40"/>
        </w:rPr>
        <w:t>推进高考综合改革落地实施。</w:t>
      </w:r>
      <w:r>
        <w:rPr>
          <w:rFonts w:hint="eastAsia" w:ascii="仿宋_GB2312" w:hAnsi="仿宋_GB2312" w:eastAsia="仿宋_GB2312" w:cs="仿宋_GB2312"/>
          <w:color w:val="auto"/>
          <w:sz w:val="32"/>
          <w:szCs w:val="40"/>
        </w:rPr>
        <w:t>根据省高考考试内容、录取等综合改革，大力推进普通高中学生综合素质评价、高职院校“文化素质+职业技能”评价</w:t>
      </w:r>
      <w:r>
        <w:rPr>
          <w:rFonts w:hint="eastAsia" w:ascii="仿宋_GB2312" w:hAnsi="仿宋_GB2312" w:eastAsia="仿宋_GB2312" w:cs="仿宋_GB2312"/>
          <w:color w:val="auto"/>
          <w:sz w:val="32"/>
          <w:szCs w:val="40"/>
          <w:lang w:eastAsia="zh-CN"/>
        </w:rPr>
        <w:t>，</w:t>
      </w:r>
      <w:r>
        <w:rPr>
          <w:rFonts w:hint="eastAsia" w:ascii="仿宋_GB2312" w:hAnsi="仿宋_GB2312" w:eastAsia="仿宋_GB2312" w:cs="仿宋_GB2312"/>
          <w:color w:val="auto"/>
          <w:sz w:val="32"/>
          <w:szCs w:val="40"/>
        </w:rPr>
        <w:t>严格对接课程标准，积极搭建情景平台，加强关键能力培养和考查。加快建立职业教育学校招生信息同步向高中应届毕业生推送机制，宣传国家、我省、我市发展现代职业教育的方针和助学资助政策，稳步推进职业教育“中高职贯通（含五年一贯制、三二分段制）”考试招生改革，促进</w:t>
      </w:r>
      <w:r>
        <w:rPr>
          <w:rFonts w:hint="eastAsia" w:ascii="仿宋_GB2312" w:hAnsi="仿宋_GB2312" w:eastAsia="仿宋_GB2312" w:cs="仿宋_GB2312"/>
          <w:color w:val="auto"/>
          <w:sz w:val="32"/>
          <w:szCs w:val="40"/>
          <w:shd w:val="clear" w:color="auto" w:fill="auto"/>
        </w:rPr>
        <w:t>普</w:t>
      </w:r>
      <w:r>
        <w:rPr>
          <w:rFonts w:hint="eastAsia" w:ascii="仿宋_GB2312" w:hAnsi="仿宋_GB2312" w:eastAsia="仿宋_GB2312" w:cs="仿宋_GB2312"/>
          <w:color w:val="auto"/>
          <w:sz w:val="32"/>
          <w:szCs w:val="40"/>
        </w:rPr>
        <w:t>职教育协调发展。</w:t>
      </w:r>
    </w:p>
    <w:p>
      <w:pPr>
        <w:pStyle w:val="4"/>
        <w:pageBreakBefore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cs="黑体"/>
          <w:b w:val="0"/>
          <w:bCs w:val="0"/>
          <w:color w:val="auto"/>
          <w:kern w:val="0"/>
        </w:rPr>
      </w:pPr>
      <w:bookmarkStart w:id="82" w:name="_Toc204706360_WPSOffice_Level2"/>
      <w:bookmarkStart w:id="83" w:name="_Toc98694815"/>
      <w:bookmarkStart w:id="84" w:name="_Toc144303499_WPSOffice_Level2"/>
      <w:r>
        <w:rPr>
          <w:rFonts w:hint="eastAsia" w:ascii="黑体" w:hAnsi="黑体" w:eastAsia="黑体" w:cs="黑体"/>
          <w:b w:val="0"/>
          <w:bCs w:val="0"/>
          <w:color w:val="auto"/>
          <w:kern w:val="0"/>
        </w:rPr>
        <w:t>第五节 深化教育督导体制机制改革</w:t>
      </w:r>
      <w:bookmarkEnd w:id="82"/>
      <w:bookmarkEnd w:id="83"/>
      <w:bookmarkEnd w:id="84"/>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深化新时代教育督导体制机制改革，依据国家教育质量监测指标体系，加强教育监测、督导与评估能力建设，强化督导评估结果运用，增强实效性、权威性。</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完善教育督导管理体制。</w:t>
      </w:r>
      <w:r>
        <w:rPr>
          <w:rFonts w:hint="eastAsia" w:ascii="仿宋_GB2312" w:hAnsi="仿宋_GB2312" w:eastAsia="仿宋_GB2312" w:cs="仿宋_GB2312"/>
          <w:color w:val="auto"/>
          <w:sz w:val="32"/>
          <w:szCs w:val="32"/>
        </w:rPr>
        <w:t>优化管理体制、完善运行机制、强化结果运用，提升教育督导质量和水平。建成覆盖全面、运转高效、结果权威、问</w:t>
      </w:r>
      <w:r>
        <w:rPr>
          <w:rFonts w:hint="eastAsia" w:ascii="仿宋_GB2312" w:hAnsi="仿宋_GB2312" w:eastAsia="仿宋_GB2312" w:cs="仿宋_GB2312"/>
          <w:color w:val="auto"/>
          <w:sz w:val="32"/>
          <w:szCs w:val="32"/>
          <w:shd w:val="clear" w:color="auto" w:fill="auto"/>
        </w:rPr>
        <w:t>责</w:t>
      </w:r>
      <w:r>
        <w:rPr>
          <w:rFonts w:hint="eastAsia" w:ascii="仿宋_GB2312" w:hAnsi="仿宋_GB2312" w:eastAsia="仿宋_GB2312" w:cs="仿宋_GB2312"/>
          <w:color w:val="auto"/>
          <w:sz w:val="32"/>
          <w:szCs w:val="32"/>
        </w:rPr>
        <w:t>有力的教育督导体制机制。完善督导机构设置，设立各级教育督导委员会，充分发挥成员单位作用。全面落实教育督导</w:t>
      </w:r>
      <w:r>
        <w:rPr>
          <w:rFonts w:hint="eastAsia" w:ascii="仿宋_GB2312" w:hAnsi="仿宋_GB2312" w:eastAsia="仿宋_GB2312" w:cs="仿宋_GB2312"/>
          <w:color w:val="auto"/>
          <w:sz w:val="32"/>
          <w:szCs w:val="32"/>
          <w:shd w:val="clear" w:color="auto" w:fill="auto"/>
        </w:rPr>
        <w:t>督</w:t>
      </w:r>
      <w:r>
        <w:rPr>
          <w:rFonts w:hint="eastAsia" w:ascii="仿宋_GB2312" w:hAnsi="仿宋_GB2312" w:eastAsia="仿宋_GB2312" w:cs="仿宋_GB2312"/>
          <w:color w:val="auto"/>
          <w:sz w:val="32"/>
          <w:szCs w:val="32"/>
        </w:rPr>
        <w:t>政、督学、评估监测职能，为改善教育管理、优化教育决策、提高教育质量提供科学依据。</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健全教育督导运行机制。</w:t>
      </w:r>
      <w:r>
        <w:rPr>
          <w:rFonts w:hint="eastAsia" w:ascii="仿宋_GB2312" w:hAnsi="仿宋_GB2312" w:eastAsia="仿宋_GB2312" w:cs="仿宋_GB2312"/>
          <w:color w:val="auto"/>
          <w:sz w:val="32"/>
          <w:szCs w:val="32"/>
        </w:rPr>
        <w:t>改进中小学校责任督学挂牌督导工作机制。开展县域学前教育普及普惠督导评估。定期开展教育重点工作和热点、难点问题专项督导，将推进教育评价改革、破“五</w:t>
      </w:r>
      <w:r>
        <w:rPr>
          <w:rFonts w:hint="eastAsia" w:ascii="仿宋_GB2312" w:hAnsi="仿宋_GB2312" w:eastAsia="仿宋_GB2312" w:cs="仿宋_GB2312"/>
          <w:color w:val="auto"/>
          <w:sz w:val="32"/>
          <w:szCs w:val="32"/>
          <w:shd w:val="clear" w:color="auto" w:fill="auto"/>
        </w:rPr>
        <w:t>唯</w:t>
      </w:r>
      <w:r>
        <w:rPr>
          <w:rFonts w:hint="eastAsia" w:ascii="仿宋_GB2312" w:hAnsi="仿宋_GB2312" w:eastAsia="仿宋_GB2312" w:cs="仿宋_GB2312"/>
          <w:color w:val="auto"/>
          <w:sz w:val="32"/>
          <w:szCs w:val="32"/>
        </w:rPr>
        <w:t>”</w:t>
      </w:r>
      <w:r>
        <w:rPr>
          <w:rStyle w:val="11"/>
          <w:rFonts w:hint="eastAsia" w:ascii="仿宋_GB2312" w:hAnsi="仿宋_GB2312" w:eastAsia="仿宋_GB2312" w:cs="仿宋_GB2312"/>
          <w:color w:val="auto"/>
          <w:sz w:val="32"/>
          <w:szCs w:val="32"/>
        </w:rPr>
        <w:footnoteReference w:id="8"/>
      </w:r>
      <w:r>
        <w:rPr>
          <w:rFonts w:hint="eastAsia" w:ascii="仿宋_GB2312" w:hAnsi="仿宋_GB2312" w:eastAsia="仿宋_GB2312" w:cs="仿宋_GB2312"/>
          <w:color w:val="auto"/>
          <w:sz w:val="32"/>
          <w:szCs w:val="32"/>
        </w:rPr>
        <w:t>情况作为教育督导、改革督查的重要内容。加强对民办学校的全方位督导。根据国家、省</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的部署要求，及时开展中小学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幼儿园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校（园）长任期结束综合督导评估工作。积极探索建立各级教育督导机构通过政府购买服务方式，委托第三方评估监测机构和社会组织开展教育评估监测的工作机制。</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加强督学聘用与管理。</w:t>
      </w:r>
      <w:r>
        <w:rPr>
          <w:rFonts w:hint="eastAsia" w:ascii="仿宋_GB2312" w:hAnsi="仿宋_GB2312" w:eastAsia="仿宋_GB2312" w:cs="仿宋_GB2312"/>
          <w:color w:val="auto"/>
          <w:sz w:val="32"/>
          <w:szCs w:val="32"/>
        </w:rPr>
        <w:t>着力建设一支数量充足、结构合理、业务精湛、廉洁高效、专兼结合的督学队伍。原则上，各地督学</w:t>
      </w:r>
      <w:r>
        <w:rPr>
          <w:rFonts w:hint="eastAsia" w:ascii="仿宋_GB2312" w:hAnsi="仿宋_GB2312" w:eastAsia="仿宋_GB2312" w:cs="仿宋_GB2312"/>
          <w:color w:val="auto"/>
          <w:sz w:val="32"/>
          <w:szCs w:val="32"/>
          <w:shd w:val="clear" w:color="auto" w:fill="auto"/>
        </w:rPr>
        <w:t>按</w:t>
      </w:r>
      <w:r>
        <w:rPr>
          <w:rFonts w:hint="eastAsia" w:ascii="仿宋_GB2312" w:hAnsi="仿宋_GB2312" w:eastAsia="仿宋_GB2312" w:cs="仿宋_GB2312"/>
          <w:color w:val="auto"/>
          <w:sz w:val="32"/>
          <w:szCs w:val="32"/>
        </w:rPr>
        <w:t>与学校数1:5的比例配备，部分学生数较多的学校按1:1的比例配备；专职和兼职督学按照1:3的比例配备，逐步扩大专职督学比例。将从事督学经历作为学校后备管理人才的重要培养方式。鼓励从退休时间不长且身体健康的党政干部中，聘请一批政治素质过硬、专业经历丰富、工作责任心强的督学，专门从事</w:t>
      </w:r>
      <w:r>
        <w:rPr>
          <w:rFonts w:hint="eastAsia" w:ascii="仿宋_GB2312" w:hAnsi="仿宋_GB2312" w:eastAsia="仿宋_GB2312" w:cs="仿宋_GB2312"/>
          <w:color w:val="auto"/>
          <w:sz w:val="32"/>
          <w:szCs w:val="32"/>
          <w:shd w:val="clear" w:color="auto" w:fill="auto"/>
        </w:rPr>
        <w:t>督</w:t>
      </w:r>
      <w:r>
        <w:rPr>
          <w:rFonts w:hint="eastAsia" w:ascii="仿宋_GB2312" w:hAnsi="仿宋_GB2312" w:eastAsia="仿宋_GB2312" w:cs="仿宋_GB2312"/>
          <w:color w:val="auto"/>
          <w:sz w:val="32"/>
          <w:szCs w:val="32"/>
        </w:rPr>
        <w:t>政工作；从退休时间不长且身体健康的校长、教师、专家中，聘请一批业务优秀、敬业乐业、有多岗位从业经验和视野开阔的督学，专门从事学校督导工作。建立健全督学培训体系，将督学培训纳入教育管理干部培训计划。</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21"/>
          <w:szCs w:val="24"/>
        </w:rPr>
      </w:pPr>
      <w:r>
        <w:rPr>
          <w:rFonts w:hint="eastAsia" w:ascii="仿宋_GB2312" w:hAnsi="仿宋_GB2312" w:eastAsia="仿宋_GB2312" w:cs="仿宋_GB2312"/>
          <w:b/>
          <w:bCs/>
          <w:color w:val="auto"/>
          <w:sz w:val="32"/>
          <w:szCs w:val="32"/>
        </w:rPr>
        <w:t>完善教育督导问责机制。</w:t>
      </w:r>
      <w:r>
        <w:rPr>
          <w:rFonts w:hint="eastAsia" w:ascii="仿宋_GB2312" w:hAnsi="仿宋_GB2312" w:eastAsia="仿宋_GB2312" w:cs="仿宋_GB2312"/>
          <w:color w:val="auto"/>
          <w:sz w:val="32"/>
          <w:szCs w:val="32"/>
        </w:rPr>
        <w:t>加强督导评估结果的运用。完善报告制度，规范反馈制度，强化整改制度，健全复查制度，落实激励制度，严肃约谈制度，建立通报制度，压实问责制度，确保教育督导问</w:t>
      </w:r>
      <w:r>
        <w:rPr>
          <w:rFonts w:hint="eastAsia" w:ascii="仿宋_GB2312" w:hAnsi="仿宋_GB2312" w:eastAsia="仿宋_GB2312" w:cs="仿宋_GB2312"/>
          <w:color w:val="auto"/>
          <w:sz w:val="32"/>
          <w:szCs w:val="32"/>
          <w:shd w:val="clear" w:color="auto" w:fill="auto"/>
        </w:rPr>
        <w:t>责</w:t>
      </w:r>
      <w:r>
        <w:rPr>
          <w:rFonts w:hint="eastAsia" w:ascii="仿宋_GB2312" w:hAnsi="仿宋_GB2312" w:eastAsia="仿宋_GB2312" w:cs="仿宋_GB2312"/>
          <w:color w:val="auto"/>
          <w:sz w:val="32"/>
          <w:szCs w:val="32"/>
        </w:rPr>
        <w:t>有力有效。</w:t>
      </w:r>
    </w:p>
    <w:p>
      <w:pPr>
        <w:pStyle w:val="4"/>
        <w:pageBreakBefore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cs="黑体"/>
          <w:b w:val="0"/>
          <w:bCs w:val="0"/>
          <w:color w:val="auto"/>
          <w:kern w:val="0"/>
        </w:rPr>
      </w:pPr>
      <w:bookmarkStart w:id="85" w:name="_Toc1186270441_WPSOffice_Level2"/>
      <w:bookmarkStart w:id="86" w:name="_Toc98694816"/>
      <w:bookmarkStart w:id="87" w:name="_Toc6230141_WPSOffice_Level2"/>
      <w:bookmarkStart w:id="88" w:name="_Toc761012120_WPSOffice_Level2"/>
      <w:r>
        <w:rPr>
          <w:rFonts w:hint="eastAsia" w:ascii="黑体" w:hAnsi="黑体" w:eastAsia="黑体" w:cs="黑体"/>
          <w:b w:val="0"/>
          <w:bCs w:val="0"/>
          <w:color w:val="auto"/>
          <w:kern w:val="0"/>
        </w:rPr>
        <w:t>第六节 深化教师管理体制机制改革</w:t>
      </w:r>
      <w:bookmarkEnd w:id="85"/>
      <w:bookmarkEnd w:id="86"/>
      <w:bookmarkEnd w:id="87"/>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创新和规范教师编制管理，深化教师职称制度和考核评价制度改革，激发教师教书育人活力。</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优化教师配置机制。</w:t>
      </w:r>
      <w:r>
        <w:rPr>
          <w:rFonts w:hint="eastAsia" w:ascii="仿宋_GB2312" w:hAnsi="仿宋_GB2312" w:eastAsia="仿宋_GB2312" w:cs="仿宋_GB2312"/>
          <w:color w:val="auto"/>
          <w:sz w:val="32"/>
          <w:szCs w:val="32"/>
        </w:rPr>
        <w:t>分类完善公办学校教职工编制管理制度，加大事业编制内部挖潜和创新管理力度，优先保障基础教育发展需要，探索全市中小学教职工编制实行单列管理、专编专用，健全市县中小学教职工编制动态调配机制，按照标准核定公办中小学教职工编制。推进建立学前教育机构编制保障体系</w:t>
      </w:r>
      <w:r>
        <w:rPr>
          <w:rFonts w:hint="eastAsia" w:ascii="仿宋_GB2312" w:hAnsi="仿宋_GB2312" w:eastAsia="仿宋_GB2312" w:cs="仿宋_GB2312"/>
          <w:color w:val="auto"/>
          <w:sz w:val="32"/>
          <w:szCs w:val="32"/>
          <w:lang w:eastAsia="zh-CN"/>
        </w:rPr>
        <w:t>，适时完善幼儿园</w:t>
      </w:r>
      <w:r>
        <w:rPr>
          <w:rFonts w:hint="eastAsia" w:ascii="仿宋_GB2312" w:hAnsi="仿宋_GB2312" w:eastAsia="仿宋_GB2312" w:cs="仿宋_GB2312"/>
          <w:color w:val="auto"/>
          <w:sz w:val="32"/>
          <w:szCs w:val="32"/>
          <w:highlight w:val="none"/>
          <w:lang w:eastAsia="zh-CN"/>
        </w:rPr>
        <w:t>教职员</w:t>
      </w:r>
      <w:r>
        <w:rPr>
          <w:rFonts w:hint="eastAsia" w:ascii="仿宋_GB2312" w:hAnsi="仿宋_GB2312" w:eastAsia="仿宋_GB2312" w:cs="仿宋_GB2312"/>
          <w:color w:val="auto"/>
          <w:sz w:val="32"/>
          <w:szCs w:val="32"/>
          <w:lang w:eastAsia="zh-CN"/>
        </w:rPr>
        <w:t>编制标准</w:t>
      </w:r>
      <w:r>
        <w:rPr>
          <w:rFonts w:hint="eastAsia" w:ascii="仿宋_GB2312" w:hAnsi="仿宋_GB2312" w:eastAsia="仿宋_GB2312" w:cs="仿宋_GB2312"/>
          <w:color w:val="auto"/>
          <w:sz w:val="32"/>
          <w:szCs w:val="32"/>
        </w:rPr>
        <w:t>。地方政府和公办学校不得向民办义务教育学校新增派具有事业编制的教职工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已经派出的，分阶段分步骤有序引导退出。加强公办中小学临聘教师管理，县域内统一标准、统一招聘、统一调配公办中小学临聘教师，落实临聘教师与在编教师“同工同酬”。提高中小学、教科研机构高级岗位结构比例。特殊教育学校</w:t>
      </w:r>
      <w:r>
        <w:rPr>
          <w:rFonts w:hint="eastAsia" w:ascii="仿宋_GB2312" w:hAnsi="仿宋_GB2312" w:eastAsia="仿宋_GB2312" w:cs="仿宋_GB2312"/>
          <w:color w:val="auto"/>
          <w:sz w:val="32"/>
          <w:szCs w:val="32"/>
          <w:highlight w:val="none"/>
        </w:rPr>
        <w:t>教职员</w:t>
      </w:r>
      <w:r>
        <w:rPr>
          <w:rFonts w:hint="eastAsia" w:ascii="仿宋_GB2312" w:hAnsi="仿宋_GB2312" w:eastAsia="仿宋_GB2312" w:cs="仿宋_GB2312"/>
          <w:color w:val="auto"/>
          <w:sz w:val="32"/>
          <w:szCs w:val="32"/>
        </w:rPr>
        <w:t>编制</w:t>
      </w:r>
      <w:r>
        <w:rPr>
          <w:rFonts w:hint="eastAsia" w:ascii="仿宋_GB2312" w:hAnsi="仿宋_GB2312" w:eastAsia="仿宋_GB2312" w:cs="仿宋_GB2312"/>
          <w:color w:val="auto"/>
          <w:sz w:val="32"/>
          <w:szCs w:val="32"/>
          <w:lang w:eastAsia="zh-CN"/>
        </w:rPr>
        <w:t>按照年级学生数与教职工</w:t>
      </w:r>
      <w:r>
        <w:rPr>
          <w:rFonts w:hint="eastAsia" w:ascii="仿宋_GB2312" w:hAnsi="仿宋_GB2312" w:eastAsia="仿宋_GB2312" w:cs="仿宋_GB2312"/>
          <w:color w:val="auto"/>
          <w:sz w:val="32"/>
          <w:szCs w:val="32"/>
          <w:shd w:val="clear" w:color="auto" w:fill="auto"/>
          <w:lang w:eastAsia="zh-CN"/>
        </w:rPr>
        <w:t>比</w:t>
      </w:r>
      <w:r>
        <w:rPr>
          <w:rFonts w:hint="eastAsia" w:ascii="仿宋_GB2312" w:hAnsi="仿宋_GB2312" w:eastAsia="仿宋_GB2312" w:cs="仿宋_GB2312"/>
          <w:color w:val="auto"/>
          <w:sz w:val="32"/>
          <w:szCs w:val="32"/>
          <w:lang w:eastAsia="zh-CN"/>
        </w:rPr>
        <w:t>核定。</w:t>
      </w:r>
      <w:r>
        <w:rPr>
          <w:rFonts w:hint="eastAsia" w:ascii="仿宋_GB2312" w:hAnsi="仿宋_GB2312" w:eastAsia="仿宋_GB2312" w:cs="仿宋_GB2312"/>
          <w:color w:val="auto"/>
          <w:sz w:val="32"/>
          <w:szCs w:val="32"/>
        </w:rPr>
        <w:t>深入推进实施中小学教师“县管校</w:t>
      </w:r>
      <w:r>
        <w:rPr>
          <w:rFonts w:hint="eastAsia" w:ascii="仿宋_GB2312" w:hAnsi="仿宋_GB2312" w:eastAsia="仿宋_GB2312" w:cs="仿宋_GB2312"/>
          <w:color w:val="auto"/>
          <w:sz w:val="32"/>
          <w:szCs w:val="32"/>
          <w:shd w:val="clear" w:color="auto" w:fill="auto"/>
        </w:rPr>
        <w:t>聘</w:t>
      </w:r>
      <w:r>
        <w:rPr>
          <w:rFonts w:hint="eastAsia" w:ascii="仿宋_GB2312" w:hAnsi="仿宋_GB2312" w:eastAsia="仿宋_GB2312" w:cs="仿宋_GB2312"/>
          <w:color w:val="auto"/>
          <w:sz w:val="32"/>
          <w:szCs w:val="32"/>
        </w:rPr>
        <w:t>”改革、“上岗退费”政策、“银</w:t>
      </w:r>
      <w:r>
        <w:rPr>
          <w:rFonts w:hint="eastAsia" w:ascii="仿宋_GB2312" w:hAnsi="仿宋_GB2312" w:eastAsia="仿宋_GB2312" w:cs="仿宋_GB2312"/>
          <w:color w:val="auto"/>
          <w:sz w:val="32"/>
          <w:szCs w:val="32"/>
          <w:shd w:val="clear" w:color="auto" w:fill="auto"/>
        </w:rPr>
        <w:t>龄</w:t>
      </w:r>
      <w:r>
        <w:rPr>
          <w:rFonts w:hint="eastAsia" w:ascii="仿宋_GB2312" w:hAnsi="仿宋_GB2312" w:eastAsia="仿宋_GB2312" w:cs="仿宋_GB2312"/>
          <w:color w:val="auto"/>
          <w:sz w:val="32"/>
          <w:szCs w:val="32"/>
        </w:rPr>
        <w:t>讲学计划”等，推进城乡学校教师资源均衡配置。</w:t>
      </w:r>
      <w:r>
        <w:rPr>
          <w:rFonts w:hint="eastAsia" w:ascii="仿宋_GB2312" w:hAnsi="仿宋_GB2312" w:eastAsia="仿宋_GB2312" w:cs="仿宋_GB2312"/>
          <w:color w:val="auto"/>
          <w:sz w:val="32"/>
          <w:szCs w:val="32"/>
          <w:lang w:val="en-US" w:eastAsia="zh-CN"/>
        </w:rPr>
        <w:t>补齐薄弱地区教师短板，教师编制、职称评聘、优质教师教育资源向乡村倾斜。</w:t>
      </w:r>
      <w:r>
        <w:rPr>
          <w:rFonts w:hint="eastAsia" w:ascii="仿宋_GB2312" w:hAnsi="仿宋_GB2312" w:eastAsia="仿宋_GB2312" w:cs="仿宋_GB2312"/>
          <w:color w:val="auto"/>
          <w:sz w:val="32"/>
          <w:szCs w:val="32"/>
        </w:rPr>
        <w:t>建立完善支持学区、办学集团教师交流制度。优化职业院校岗位配置，畅通高技能人才从教渠道。探索高校员额制（人员总量）管理模式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破除制约高校人才发展的障碍</w:t>
      </w:r>
      <w:r>
        <w:rPr>
          <w:rFonts w:hint="eastAsia" w:ascii="仿宋_GB2312" w:hAnsi="仿宋_GB2312" w:eastAsia="仿宋_GB2312" w:cs="仿宋_GB2312"/>
          <w:color w:val="auto"/>
          <w:sz w:val="32"/>
          <w:szCs w:val="32"/>
          <w:lang w:eastAsia="zh-CN"/>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完善教师准入退出机制。</w:t>
      </w:r>
      <w:r>
        <w:rPr>
          <w:rFonts w:hint="eastAsia" w:ascii="仿宋_GB2312" w:hAnsi="仿宋_GB2312" w:eastAsia="仿宋_GB2312" w:cs="仿宋_GB2312"/>
          <w:color w:val="auto"/>
          <w:sz w:val="32"/>
          <w:szCs w:val="32"/>
        </w:rPr>
        <w:t>严格落实中小学教师资格定期注册制度、教师违反职业道德行为处理办法、事业单位人事管理等有关法规政策要求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5"/>
          <w:sz w:val="32"/>
          <w:szCs w:val="32"/>
        </w:rPr>
        <w:t>确保教师全员持证上岗</w:t>
      </w:r>
      <w:r>
        <w:rPr>
          <w:rFonts w:hint="eastAsia" w:ascii="仿宋_GB2312" w:hAnsi="仿宋_GB2312" w:eastAsia="仿宋_GB2312" w:cs="仿宋_GB2312"/>
          <w:color w:val="auto"/>
          <w:sz w:val="32"/>
          <w:szCs w:val="32"/>
        </w:rPr>
        <w:t>。全面落实中小学教师全员坐班制度，完善教师岗位职责考核机制，健全以岗位管理为核心的教师管理制度，加强对教师考核及评价结果的运用，完善教师退出机制，对不适宜任教或不合格的教师按规定及时调离教学岗位，被调整人员需通过培训并考核合格方可重新上岗。</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
          <w:bCs/>
          <w:color w:val="auto"/>
          <w:sz w:val="32"/>
          <w:szCs w:val="32"/>
        </w:rPr>
        <w:t>健全教师工资待遇保障机制。</w:t>
      </w:r>
      <w:r>
        <w:rPr>
          <w:rFonts w:hint="eastAsia" w:ascii="仿宋_GB2312" w:hAnsi="仿宋_GB2312" w:eastAsia="仿宋_GB2312" w:cs="仿宋_GB2312"/>
          <w:color w:val="auto"/>
          <w:sz w:val="32"/>
          <w:szCs w:val="32"/>
        </w:rPr>
        <w:t>依法依规落实教师工资待遇政策要求，切实维护教师的合法权益。落实中小学班主任待遇补助，完善学校绩效工资分配制度，在绩效工资分配上向教育教学实绩突出的一线优秀教师、班主任、特殊教育教师倾斜，充分发挥绩效工资的激励导向作用。确保县域内中小学教师平均工资收入水平不低于或高于当地公务员平均工资收入水平，确保县域内农村中小学教师平均工资收入水平不低于或高于当地城镇教师平均工资收入水平。鼓励支持地方和高校建立完善激发教师充分发挥才干的工作机制，不断改善教师的工作、学习、生活条件，吸引更多省内外教育领域优秀人才来</w:t>
      </w:r>
      <w:r>
        <w:rPr>
          <w:rFonts w:hint="eastAsia" w:ascii="仿宋_GB2312" w:hAnsi="仿宋_GB2312" w:eastAsia="仿宋_GB2312" w:cs="仿宋_GB2312"/>
          <w:color w:val="auto"/>
          <w:sz w:val="32"/>
          <w:szCs w:val="32"/>
          <w:shd w:val="clear" w:color="auto" w:fill="auto"/>
        </w:rPr>
        <w:t>茂</w:t>
      </w:r>
      <w:r>
        <w:rPr>
          <w:rFonts w:hint="eastAsia" w:ascii="仿宋_GB2312" w:hAnsi="仿宋_GB2312" w:eastAsia="仿宋_GB2312" w:cs="仿宋_GB2312"/>
          <w:color w:val="auto"/>
          <w:sz w:val="32"/>
          <w:szCs w:val="32"/>
        </w:rPr>
        <w:t>工作。</w:t>
      </w:r>
    </w:p>
    <w:p>
      <w:pPr>
        <w:pStyle w:val="4"/>
        <w:pageBreakBefore w:val="0"/>
        <w:kinsoku/>
        <w:wordWrap/>
        <w:overflowPunct/>
        <w:topLinePunct w:val="0"/>
        <w:bidi w:val="0"/>
        <w:snapToGrid/>
        <w:spacing w:before="156" w:beforeLines="50" w:after="156" w:afterLines="50" w:line="540" w:lineRule="exact"/>
        <w:jc w:val="center"/>
        <w:textAlignment w:val="auto"/>
        <w:rPr>
          <w:rFonts w:ascii="黑体" w:hAnsi="黑体" w:eastAsia="黑体" w:cs="黑体"/>
          <w:b w:val="0"/>
          <w:bCs w:val="0"/>
          <w:color w:val="auto"/>
          <w:kern w:val="0"/>
        </w:rPr>
      </w:pPr>
      <w:bookmarkStart w:id="89" w:name="_Toc853086473_WPSOffice_Level2"/>
      <w:bookmarkStart w:id="90" w:name="_Toc98694817"/>
      <w:r>
        <w:rPr>
          <w:rFonts w:hint="eastAsia" w:ascii="黑体" w:hAnsi="黑体" w:eastAsia="黑体" w:cs="黑体"/>
          <w:b w:val="0"/>
          <w:bCs w:val="0"/>
          <w:color w:val="auto"/>
          <w:kern w:val="0"/>
        </w:rPr>
        <w:t xml:space="preserve">第七节 </w:t>
      </w:r>
      <w:bookmarkEnd w:id="88"/>
      <w:r>
        <w:rPr>
          <w:rFonts w:hint="eastAsia" w:ascii="黑体" w:hAnsi="黑体" w:eastAsia="黑体" w:cs="黑体"/>
          <w:b w:val="0"/>
          <w:bCs w:val="0"/>
          <w:color w:val="auto"/>
          <w:kern w:val="0"/>
        </w:rPr>
        <w:t>深化教育对外开放合作</w:t>
      </w:r>
      <w:bookmarkEnd w:id="89"/>
      <w:bookmarkEnd w:id="90"/>
    </w:p>
    <w:p>
      <w:pPr>
        <w:pageBreakBefore w:val="0"/>
        <w:kinsoku/>
        <w:wordWrap/>
        <w:overflowPunct/>
        <w:topLinePunct w:val="0"/>
        <w:autoSpaceDE w:val="0"/>
        <w:autoSpaceDN w:val="0"/>
        <w:bidi w:val="0"/>
        <w:adjustRightInd w:val="0"/>
        <w:snapToGrid/>
        <w:spacing w:line="54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主动积极融入“双区”、横琴粤澳深度合作区、前海深港现代服务业合作区建设等重大国家战略，加强地区教育合作交流，形成区域间教育优势互补、高质量发展的开放办学新格局。</w:t>
      </w:r>
    </w:p>
    <w:p>
      <w:pPr>
        <w:pStyle w:val="5"/>
        <w:pageBreakBefore w:val="0"/>
        <w:kinsoku/>
        <w:wordWrap/>
        <w:overflowPunct/>
        <w:topLinePunct w:val="0"/>
        <w:bidi w:val="0"/>
        <w:snapToGrid/>
        <w:spacing w:after="0" w:afterLines="0" w:line="540" w:lineRule="exact"/>
        <w:ind w:firstLine="640" w:firstLineChars="200"/>
        <w:jc w:val="both"/>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b/>
          <w:bCs/>
          <w:color w:val="auto"/>
          <w:kern w:val="2"/>
          <w:sz w:val="32"/>
          <w:szCs w:val="32"/>
          <w:lang w:eastAsia="zh-CN"/>
        </w:rPr>
        <w:t>加强茂名与对口帮扶城市、珠三角城市、相邻地市等地区教育合作交流。</w:t>
      </w:r>
      <w:r>
        <w:rPr>
          <w:rFonts w:hint="eastAsia" w:ascii="仿宋_GB2312" w:hAnsi="仿宋_GB2312" w:eastAsia="仿宋_GB2312" w:cs="仿宋_GB2312"/>
          <w:color w:val="auto"/>
          <w:kern w:val="2"/>
          <w:sz w:val="32"/>
          <w:szCs w:val="32"/>
          <w:lang w:eastAsia="zh-CN"/>
        </w:rPr>
        <w:t>深化佛山茂名教育领域结对帮扶，落实我市、区（县级市）受援主体责任，建立工作领导小组和工作专班，统筹协调茂名佛山双方市、区（县级市）第一轮结对帮扶工作总体安排、重点工作、落实措施、责任分工以及其他重大事项。2025年第一轮帮扶结束时，我市校长教师队伍能力素质明显提高，基础教育拔尖人才显著增加，城乡教师水平差距大幅缩小，基础教育综合实力显著增强。</w:t>
      </w:r>
      <w:r>
        <w:rPr>
          <w:rFonts w:hint="eastAsia" w:ascii="仿宋_GB2312" w:hAnsi="仿宋_GB2312" w:eastAsia="仿宋_GB2312" w:cs="仿宋_GB2312"/>
          <w:color w:val="auto"/>
          <w:sz w:val="32"/>
          <w:szCs w:val="32"/>
          <w:lang w:eastAsia="zh-CN"/>
        </w:rPr>
        <w:t>拓展</w:t>
      </w:r>
      <w:r>
        <w:rPr>
          <w:rFonts w:hint="eastAsia" w:ascii="仿宋_GB2312" w:hAnsi="仿宋_GB2312" w:eastAsia="仿宋_GB2312" w:cs="仿宋_GB2312"/>
          <w:color w:val="auto"/>
          <w:sz w:val="32"/>
          <w:szCs w:val="32"/>
          <w:shd w:val="clear" w:color="auto" w:fill="auto"/>
          <w:lang w:eastAsia="zh-CN"/>
        </w:rPr>
        <w:t>湛茂阳</w:t>
      </w:r>
      <w:r>
        <w:rPr>
          <w:rFonts w:hint="eastAsia" w:ascii="仿宋_GB2312" w:hAnsi="仿宋_GB2312" w:eastAsia="仿宋_GB2312" w:cs="仿宋_GB2312"/>
          <w:color w:val="auto"/>
          <w:sz w:val="32"/>
          <w:szCs w:val="32"/>
          <w:lang w:eastAsia="zh-CN"/>
        </w:rPr>
        <w:t>在教育方面的人才交流渠道，携手打造粤西教育高地。</w:t>
      </w:r>
      <w:r>
        <w:rPr>
          <w:rFonts w:hint="eastAsia" w:ascii="仿宋_GB2312" w:hAnsi="仿宋_GB2312" w:eastAsia="仿宋_GB2312" w:cs="仿宋_GB2312"/>
          <w:color w:val="auto"/>
          <w:kern w:val="2"/>
          <w:sz w:val="32"/>
          <w:szCs w:val="32"/>
          <w:lang w:eastAsia="zh-CN"/>
        </w:rPr>
        <w:t>落实粤桂教育协作重点工作，实施中小学、幼儿园标准化建设，加大职业教育协作力度，实施“</w:t>
      </w:r>
      <w:r>
        <w:rPr>
          <w:rFonts w:hint="eastAsia" w:ascii="仿宋_GB2312" w:hAnsi="仿宋_GB2312" w:eastAsia="仿宋_GB2312" w:cs="仿宋_GB2312"/>
          <w:color w:val="auto"/>
          <w:kern w:val="2"/>
          <w:sz w:val="32"/>
          <w:szCs w:val="32"/>
          <w:shd w:val="clear" w:color="auto" w:fill="auto"/>
          <w:lang w:eastAsia="zh-CN"/>
        </w:rPr>
        <w:t>筑梦</w:t>
      </w:r>
      <w:r>
        <w:rPr>
          <w:rFonts w:hint="eastAsia" w:ascii="仿宋_GB2312" w:hAnsi="仿宋_GB2312" w:eastAsia="仿宋_GB2312" w:cs="仿宋_GB2312"/>
          <w:color w:val="auto"/>
          <w:kern w:val="2"/>
          <w:sz w:val="32"/>
          <w:szCs w:val="32"/>
          <w:lang w:eastAsia="zh-CN"/>
        </w:rPr>
        <w:t>”资助计划，加强教师协作，改善来宾市忻城县、金秀县学校的办学条件，共同提升学校办学水平和质量。对接珠海市对我市乡村振兴帮扶，加强两地校际交流互访、教育教学研修、职业学校学生双向就业等方面的交流合作。</w:t>
      </w:r>
    </w:p>
    <w:p>
      <w:pPr>
        <w:pStyle w:val="5"/>
        <w:pageBreakBefore w:val="0"/>
        <w:kinsoku/>
        <w:wordWrap/>
        <w:overflowPunct/>
        <w:topLinePunct w:val="0"/>
        <w:bidi w:val="0"/>
        <w:snapToGrid/>
        <w:spacing w:after="0" w:afterLines="0" w:line="540" w:lineRule="exact"/>
        <w:ind w:firstLine="640"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b/>
          <w:bCs/>
          <w:color w:val="auto"/>
          <w:kern w:val="2"/>
          <w:sz w:val="32"/>
          <w:szCs w:val="32"/>
          <w:lang w:eastAsia="zh-CN"/>
        </w:rPr>
        <w:t>推进茂名与高校全面战略合作。</w:t>
      </w:r>
      <w:r>
        <w:rPr>
          <w:rFonts w:hint="eastAsia" w:ascii="仿宋_GB2312" w:hAnsi="仿宋_GB2312" w:eastAsia="仿宋_GB2312" w:cs="仿宋_GB2312"/>
          <w:color w:val="auto"/>
          <w:kern w:val="2"/>
          <w:sz w:val="32"/>
          <w:szCs w:val="32"/>
          <w:lang w:eastAsia="zh-CN"/>
        </w:rPr>
        <w:t>加大中小学教师和教学科研人员与知名高校和相关机构交流学习支持力度。推进我市与华南农业大学、华南师范大学、广东外语外贸大学全面战略合作，落实市、区（县级市）与广东工业大学等11所大学的结对关系，</w:t>
      </w:r>
      <w:r>
        <w:rPr>
          <w:rFonts w:hint="eastAsia" w:ascii="仿宋_GB2312" w:hAnsi="仿宋_GB2312" w:eastAsia="仿宋_GB2312" w:cs="仿宋_GB2312"/>
          <w:color w:val="auto"/>
          <w:kern w:val="2"/>
          <w:sz w:val="32"/>
          <w:szCs w:val="32"/>
          <w:highlight w:val="none"/>
          <w:lang w:eastAsia="zh-CN"/>
        </w:rPr>
        <w:t>努力引进高水平大学（分校区），</w:t>
      </w:r>
      <w:r>
        <w:rPr>
          <w:rFonts w:hint="eastAsia" w:ascii="仿宋_GB2312" w:hAnsi="仿宋_GB2312" w:eastAsia="仿宋_GB2312" w:cs="仿宋_GB2312"/>
          <w:color w:val="auto"/>
          <w:kern w:val="2"/>
          <w:sz w:val="32"/>
          <w:szCs w:val="32"/>
          <w:lang w:eastAsia="zh-CN"/>
        </w:rPr>
        <w:t>发挥高校在人才、智力、科研等方面的优势反哺基础教育，加强人才培训培养、学科建设、教育教学、产学研和产</w:t>
      </w:r>
      <w:r>
        <w:rPr>
          <w:rFonts w:hint="eastAsia" w:ascii="仿宋_GB2312" w:hAnsi="仿宋_GB2312" w:eastAsia="仿宋_GB2312" w:cs="仿宋_GB2312"/>
          <w:color w:val="auto"/>
          <w:kern w:val="2"/>
          <w:sz w:val="32"/>
          <w:szCs w:val="32"/>
          <w:shd w:val="clear" w:color="auto" w:fill="auto"/>
          <w:lang w:eastAsia="zh-CN"/>
        </w:rPr>
        <w:t>教</w:t>
      </w:r>
      <w:r>
        <w:rPr>
          <w:rFonts w:hint="eastAsia" w:ascii="仿宋_GB2312" w:hAnsi="仿宋_GB2312" w:eastAsia="仿宋_GB2312" w:cs="仿宋_GB2312"/>
          <w:color w:val="auto"/>
          <w:kern w:val="2"/>
          <w:sz w:val="32"/>
          <w:szCs w:val="32"/>
          <w:lang w:eastAsia="zh-CN"/>
        </w:rPr>
        <w:t>融合等，推动我市基础教育高质量发展，进一步提高我市高校和中职学校办学能力和水平，为我市建设产业实力雄厚的现代化滨海城市、打造沿海经济带上的新增长极提供更多、更有力的人才支撑和智力支持。</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b/>
          <w:bCs/>
          <w:color w:val="auto"/>
          <w:kern w:val="2"/>
          <w:sz w:val="32"/>
          <w:szCs w:val="32"/>
          <w:lang w:eastAsia="zh-CN"/>
        </w:rPr>
        <w:t>加强教育对外交流与合作。</w:t>
      </w:r>
      <w:r>
        <w:rPr>
          <w:rFonts w:hint="eastAsia" w:ascii="仿宋_GB2312" w:hAnsi="仿宋_GB2312" w:eastAsia="仿宋_GB2312" w:cs="仿宋_GB2312"/>
          <w:color w:val="auto"/>
          <w:kern w:val="2"/>
          <w:sz w:val="32"/>
          <w:szCs w:val="32"/>
          <w:lang w:eastAsia="zh-CN"/>
        </w:rPr>
        <w:t>全面开展中小学</w:t>
      </w:r>
      <w:r>
        <w:rPr>
          <w:rFonts w:hint="eastAsia" w:ascii="仿宋_GB2312" w:hAnsi="仿宋_GB2312" w:eastAsia="仿宋_GB2312" w:cs="仿宋_GB2312"/>
          <w:color w:val="auto"/>
          <w:kern w:val="2"/>
          <w:sz w:val="32"/>
          <w:szCs w:val="32"/>
          <w:highlight w:val="none"/>
          <w:lang w:eastAsia="zh-CN"/>
        </w:rPr>
        <w:t>国际理解教育</w:t>
      </w:r>
      <w:r>
        <w:rPr>
          <w:rFonts w:hint="eastAsia" w:ascii="仿宋_GB2312" w:hAnsi="仿宋_GB2312" w:eastAsia="仿宋_GB2312" w:cs="仿宋_GB2312"/>
          <w:color w:val="auto"/>
          <w:kern w:val="2"/>
          <w:sz w:val="32"/>
          <w:szCs w:val="32"/>
          <w:lang w:eastAsia="zh-CN"/>
        </w:rPr>
        <w:t>，培养学生国际化素养，树立人类命运共同体意识，增强跨文化交往能力，提升茂名教育国际化水平。深化与港澳教育交流合作，稳妥推进与台湾教育交流合作。支持中小学开展以学科学习、创新思维为主题的学生国际交流活动。</w:t>
      </w:r>
      <w:r>
        <w:rPr>
          <w:rFonts w:hint="eastAsia" w:ascii="仿宋_GB2312" w:hAnsi="仿宋_GB2312" w:eastAsia="仿宋_GB2312" w:cs="仿宋_GB2312"/>
          <w:color w:val="auto"/>
          <w:kern w:val="2"/>
          <w:sz w:val="32"/>
          <w:szCs w:val="32"/>
          <w:lang w:val="en-US" w:eastAsia="zh-CN"/>
        </w:rPr>
        <w:t>重点支持广东石油化工学院与英国、乌克兰、斯洛文尼亚等国的创新创业载体建设，推动茂名职业技术学院与德国巴斯夫公司的产</w:t>
      </w:r>
      <w:r>
        <w:rPr>
          <w:rFonts w:hint="eastAsia" w:ascii="仿宋_GB2312" w:hAnsi="仿宋_GB2312" w:eastAsia="仿宋_GB2312" w:cs="仿宋_GB2312"/>
          <w:color w:val="auto"/>
          <w:kern w:val="2"/>
          <w:sz w:val="32"/>
          <w:szCs w:val="32"/>
          <w:shd w:val="clear" w:color="auto" w:fill="auto"/>
          <w:lang w:val="en-US" w:eastAsia="zh-CN"/>
        </w:rPr>
        <w:t>教</w:t>
      </w:r>
      <w:r>
        <w:rPr>
          <w:rFonts w:hint="eastAsia" w:ascii="仿宋_GB2312" w:hAnsi="仿宋_GB2312" w:eastAsia="仿宋_GB2312" w:cs="仿宋_GB2312"/>
          <w:color w:val="auto"/>
          <w:kern w:val="2"/>
          <w:sz w:val="32"/>
          <w:szCs w:val="32"/>
          <w:lang w:val="en-US" w:eastAsia="zh-CN"/>
        </w:rPr>
        <w:t>融合交流合作。</w:t>
      </w:r>
      <w:r>
        <w:rPr>
          <w:rFonts w:hint="eastAsia" w:ascii="仿宋_GB2312" w:hAnsi="仿宋_GB2312" w:eastAsia="仿宋_GB2312" w:cs="仿宋_GB2312"/>
          <w:color w:val="auto"/>
          <w:kern w:val="2"/>
          <w:sz w:val="32"/>
          <w:szCs w:val="32"/>
          <w:lang w:eastAsia="zh-CN"/>
        </w:rPr>
        <w:t>支持职业院校引进国内外先进、成熟适用的职业标准、人才培养标准，加快培养高素质、应用型、技术技能人才。</w:t>
      </w:r>
    </w:p>
    <w:p>
      <w:pPr>
        <w:pStyle w:val="2"/>
        <w:spacing w:before="156" w:beforeLines="50" w:after="156" w:afterLines="50"/>
        <w:ind w:left="0" w:leftChars="0"/>
        <w:jc w:val="center"/>
        <w:rPr>
          <w:rFonts w:ascii="方正小标宋简体" w:hAnsi="方正小标宋简体" w:eastAsia="方正小标宋简体" w:cs="方正小标宋简体"/>
          <w:b w:val="0"/>
          <w:bCs w:val="0"/>
          <w:color w:val="auto"/>
          <w:kern w:val="0"/>
          <w:sz w:val="36"/>
          <w:szCs w:val="36"/>
        </w:rPr>
      </w:pPr>
      <w:r>
        <w:rPr>
          <w:rFonts w:hint="eastAsia" w:ascii="Times New Roman" w:hAnsi="Times New Roman" w:eastAsia="宋体" w:cs="Times New Roman"/>
          <w:color w:val="auto"/>
          <w:sz w:val="20"/>
          <w:szCs w:val="20"/>
          <w:lang w:eastAsia="zh-CN"/>
        </w:rPr>
        <w:br w:type="page"/>
      </w:r>
      <w:bookmarkStart w:id="91" w:name="_Toc475508000_WPSOffice_Level1"/>
      <w:bookmarkStart w:id="92" w:name="_Toc98694818"/>
      <w:bookmarkStart w:id="93" w:name="_Toc1834232943_WPSOffice_Level1"/>
      <w:r>
        <w:rPr>
          <w:rFonts w:hint="eastAsia" w:ascii="方正小标宋简体" w:hAnsi="方正小标宋简体" w:eastAsia="方正小标宋简体" w:cs="方正小标宋简体"/>
          <w:b w:val="0"/>
          <w:color w:val="auto"/>
          <w:kern w:val="0"/>
          <w:sz w:val="36"/>
          <w:szCs w:val="36"/>
        </w:rPr>
        <w:t xml:space="preserve">第六章 </w:t>
      </w:r>
      <w:bookmarkEnd w:id="91"/>
      <w:r>
        <w:rPr>
          <w:rFonts w:hint="eastAsia" w:ascii="方正小标宋简体" w:hAnsi="方正小标宋简体" w:eastAsia="方正小标宋简体" w:cs="方正小标宋简体"/>
          <w:b w:val="0"/>
          <w:color w:val="auto"/>
          <w:kern w:val="0"/>
          <w:sz w:val="36"/>
          <w:szCs w:val="36"/>
        </w:rPr>
        <w:t>加强党的领导，压实责任强化保障</w:t>
      </w:r>
      <w:bookmarkEnd w:id="92"/>
      <w:bookmarkEnd w:id="93"/>
    </w:p>
    <w:p>
      <w:pPr>
        <w:pStyle w:val="4"/>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jc w:val="center"/>
        <w:textAlignment w:val="auto"/>
        <w:rPr>
          <w:rFonts w:ascii="黑体" w:hAnsi="黑体" w:eastAsia="黑体" w:cs="黑体"/>
          <w:b w:val="0"/>
          <w:bCs w:val="0"/>
          <w:color w:val="auto"/>
          <w:kern w:val="0"/>
        </w:rPr>
      </w:pPr>
      <w:bookmarkStart w:id="94" w:name="_Toc265383221_WPSOffice_Level2"/>
      <w:bookmarkStart w:id="95" w:name="_Toc98694819"/>
      <w:r>
        <w:rPr>
          <w:rFonts w:hint="eastAsia" w:ascii="黑体" w:hAnsi="黑体" w:eastAsia="黑体" w:cs="黑体"/>
          <w:b w:val="0"/>
          <w:bCs w:val="0"/>
          <w:color w:val="auto"/>
          <w:kern w:val="0"/>
        </w:rPr>
        <w:t>第一节 加强党对教育工作的全面领</w:t>
      </w:r>
      <w:r>
        <w:rPr>
          <w:rFonts w:hint="eastAsia" w:ascii="黑体" w:hAnsi="黑体" w:eastAsia="黑体" w:cs="黑体"/>
          <w:b w:val="0"/>
          <w:bCs w:val="0"/>
          <w:color w:val="auto"/>
          <w:kern w:val="0"/>
          <w:shd w:val="clear" w:color="auto" w:fill="auto"/>
        </w:rPr>
        <w:t>导</w:t>
      </w:r>
      <w:bookmarkEnd w:id="94"/>
      <w:bookmarkEnd w:id="95"/>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坚持和加强党对教育工作的全面领导，坚持社会主义办学方向，突出思想引领，全面加强教育系统党的建设，落实全面从严治党主体责任，为教育高质量发展提供组织保障。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2"/>
          <w:sz w:val="32"/>
          <w:szCs w:val="32"/>
          <w:shd w:val="clear" w:color="auto" w:fill="auto"/>
          <w:lang w:val="en-US" w:eastAsia="zh-CN" w:bidi="ar-SA"/>
        </w:rPr>
        <w:t>完善党对教育工作全面领导的体制机制。</w:t>
      </w:r>
      <w:r>
        <w:rPr>
          <w:rFonts w:hint="eastAsia" w:ascii="仿宋_GB2312" w:hAnsi="仿宋_GB2312" w:eastAsia="仿宋_GB2312" w:cs="仿宋_GB2312"/>
          <w:color w:val="auto"/>
          <w:sz w:val="32"/>
          <w:szCs w:val="32"/>
        </w:rPr>
        <w:t>坚持党管办学方向、管改革发展、管干部、管人才，把教育改革发展纳入各级党委（党组）议事日程。进一步健全党委统一领导、党政齐抓共管、部门各负其责的教育领导体制，建立健全市</w:t>
      </w:r>
      <w:r>
        <w:rPr>
          <w:rFonts w:hint="eastAsia" w:ascii="仿宋_GB2312" w:hAnsi="仿宋_GB2312" w:eastAsia="仿宋_GB2312" w:cs="仿宋_GB2312"/>
          <w:color w:val="auto"/>
          <w:sz w:val="32"/>
          <w:szCs w:val="32"/>
          <w:lang w:eastAsia="zh-CN"/>
        </w:rPr>
        <w:t>、区（县级市）</w:t>
      </w:r>
      <w:r>
        <w:rPr>
          <w:rFonts w:hint="eastAsia" w:ascii="仿宋_GB2312" w:hAnsi="仿宋_GB2312" w:eastAsia="仿宋_GB2312" w:cs="仿宋_GB2312"/>
          <w:color w:val="auto"/>
          <w:sz w:val="32"/>
          <w:szCs w:val="32"/>
        </w:rPr>
        <w:t>党委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shd w:val="clear" w:color="auto" w:fill="auto"/>
          <w:lang w:eastAsia="zh-CN"/>
        </w:rPr>
        <w:t>含</w:t>
      </w:r>
      <w:r>
        <w:rPr>
          <w:rFonts w:hint="eastAsia" w:ascii="仿宋_GB2312" w:hAnsi="仿宋_GB2312" w:eastAsia="仿宋_GB2312" w:cs="仿宋_GB2312"/>
          <w:color w:val="auto"/>
          <w:sz w:val="32"/>
          <w:szCs w:val="32"/>
          <w:lang w:eastAsia="zh-CN"/>
        </w:rPr>
        <w:t>茂名滨海新区、高新区党工委）</w:t>
      </w:r>
      <w:r>
        <w:rPr>
          <w:rFonts w:hint="eastAsia" w:ascii="仿宋_GB2312" w:hAnsi="仿宋_GB2312" w:eastAsia="仿宋_GB2312" w:cs="仿宋_GB2312"/>
          <w:color w:val="auto"/>
          <w:sz w:val="32"/>
          <w:szCs w:val="32"/>
        </w:rPr>
        <w:t>教育工作领导小组及其日常办事机构，理顺配套体制机制，调动各成员单位积极性，形成推动教育改革发展合力。推动各地各学校党组织切实履行好管党治党的主体责任，建立健全坚持和加强党的领导的组织体系、制度体系、工作机制，贯彻落实中共中央办公厅印发《关于建立中小学校党组织领导的校长负责制的意见》，建立中小学校党组织领导的校长负责制，形成落实党的领导纵到底、横到边、全覆盖的工作格局。落实意识形态工作责任制，把意识形态工作有效融入教育改革发展稳定和教学科研、学校管理等工作中</w:t>
      </w:r>
      <w:bookmarkStart w:id="96" w:name="_Toc906447679_WPSOffice_Level2"/>
      <w:r>
        <w:rPr>
          <w:rFonts w:hint="eastAsia" w:ascii="仿宋_GB2312" w:hAnsi="仿宋_GB2312" w:eastAsia="仿宋_GB2312" w:cs="仿宋_GB2312"/>
          <w:color w:val="auto"/>
          <w:sz w:val="32"/>
          <w:szCs w:val="32"/>
        </w:rPr>
        <w:t>。</w:t>
      </w:r>
    </w:p>
    <w:p>
      <w:pPr>
        <w:pageBreakBefore w:val="0"/>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全面加强教育系统党的建设</w:t>
      </w:r>
      <w:bookmarkEnd w:id="96"/>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坚持把党的政治建设摆在首位。加强对中小学校、民办学校、高等院校党建工作的分类精准指导，确保党中央决策部署落到实处、见到实效。贯彻落实新修订的《中国共产党普通高等学校基层组织工作条例》，推动落实《关于加强中小学校党的建设工作的意见》。落实教育系统加强党的基层组织建设三年行动计划，实施教师党支部书记“双带头人”培育工程。进一步明确和落实全市学校党建工作责任，促进党建工作与教育教学深度融合。不断加强党建带动工会、共青团、妇联等群团组织和学生会组织、学生社团建设。</w:t>
      </w:r>
    </w:p>
    <w:p>
      <w:pPr>
        <w:pageBreakBefore w:val="0"/>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color w:val="auto"/>
          <w:sz w:val="21"/>
          <w:szCs w:val="24"/>
        </w:rPr>
      </w:pPr>
      <w:r>
        <w:rPr>
          <w:rFonts w:hint="eastAsia" w:ascii="仿宋_GB2312" w:hAnsi="仿宋_GB2312" w:eastAsia="仿宋_GB2312" w:cs="仿宋_GB2312"/>
          <w:b/>
          <w:bCs/>
          <w:color w:val="auto"/>
          <w:sz w:val="32"/>
          <w:szCs w:val="32"/>
        </w:rPr>
        <w:t>落实全面从严治党主体责任。</w:t>
      </w:r>
      <w:r>
        <w:rPr>
          <w:rFonts w:hint="eastAsia" w:ascii="仿宋_GB2312" w:hAnsi="仿宋_GB2312" w:eastAsia="仿宋_GB2312" w:cs="仿宋_GB2312"/>
          <w:color w:val="auto"/>
          <w:sz w:val="32"/>
          <w:szCs w:val="32"/>
        </w:rPr>
        <w:t>强化政治监督，推动全面从严治党向纵深发展，营造风清气正的良好政治生态和育人环境。教育系统各级党组织要把全面从严治党纳入总体部署，与落实立德树人根本任务、办学治校重点工作同部署、同落实、同检查，持之以恒正风</w:t>
      </w:r>
      <w:r>
        <w:rPr>
          <w:rFonts w:hint="eastAsia" w:ascii="仿宋_GB2312" w:hAnsi="仿宋_GB2312" w:eastAsia="仿宋_GB2312" w:cs="仿宋_GB2312"/>
          <w:color w:val="auto"/>
          <w:sz w:val="32"/>
          <w:szCs w:val="32"/>
          <w:shd w:val="clear" w:color="auto" w:fill="auto"/>
        </w:rPr>
        <w:t>肃</w:t>
      </w:r>
      <w:r>
        <w:rPr>
          <w:rFonts w:hint="eastAsia" w:ascii="仿宋_GB2312" w:hAnsi="仿宋_GB2312" w:eastAsia="仿宋_GB2312" w:cs="仿宋_GB2312"/>
          <w:color w:val="auto"/>
          <w:sz w:val="32"/>
          <w:szCs w:val="32"/>
        </w:rPr>
        <w:t>纪。各级党组织主要负责人要承担全面从严治党第一责任人责任，主动谋划全面从严治党工作，亲自协调推动解决重大问题；严格落实党员领导干部“一岗双责”，深化党风廉政建设；进一步压实全面从严治党主体责任链条，开展各级党组织书记抓基层党建工作评议考核，强化结果运用，形成一级抓一级、层层抓落实的全面从严治党的工作格局，为茂名教育改革发展稳定保驾护航。</w:t>
      </w:r>
    </w:p>
    <w:p>
      <w:pPr>
        <w:pStyle w:val="4"/>
        <w:pageBreakBefore w:val="0"/>
        <w:kinsoku/>
        <w:wordWrap/>
        <w:overflowPunct/>
        <w:topLinePunct w:val="0"/>
        <w:bidi w:val="0"/>
        <w:snapToGrid/>
        <w:spacing w:before="156" w:beforeLines="50" w:after="156" w:afterLines="50" w:line="540" w:lineRule="exact"/>
        <w:jc w:val="center"/>
        <w:textAlignment w:val="auto"/>
        <w:rPr>
          <w:rFonts w:ascii="黑体" w:hAnsi="黑体" w:eastAsia="黑体" w:cs="黑体"/>
          <w:b w:val="0"/>
          <w:bCs w:val="0"/>
          <w:color w:val="auto"/>
          <w:kern w:val="0"/>
        </w:rPr>
      </w:pPr>
      <w:bookmarkStart w:id="97" w:name="_Toc1273865165_WPSOffice_Level2"/>
      <w:bookmarkStart w:id="98" w:name="_Toc98694820"/>
      <w:r>
        <w:rPr>
          <w:rFonts w:hint="eastAsia" w:ascii="黑体" w:hAnsi="黑体" w:eastAsia="黑体" w:cs="黑体"/>
          <w:b w:val="0"/>
          <w:bCs w:val="0"/>
          <w:color w:val="auto"/>
          <w:kern w:val="0"/>
        </w:rPr>
        <w:t>第二节 强化保障推动规划落地见效</w:t>
      </w:r>
      <w:bookmarkEnd w:id="97"/>
      <w:bookmarkEnd w:id="98"/>
    </w:p>
    <w:p>
      <w:pPr>
        <w:pageBreakBefore w:val="0"/>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落实属地责任，汇聚资源要素，协同社会发力，强化智力保障、安全保障和机制保障，有力支撑茂名教育高质量发展和现代化建设。</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完善教育现代化投入管理体制。</w:t>
      </w:r>
      <w:r>
        <w:rPr>
          <w:rFonts w:hint="eastAsia"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lang w:eastAsia="zh-CN"/>
        </w:rPr>
        <w:t>、区（县级市，茂名滨海新区、高新区）</w:t>
      </w:r>
      <w:r>
        <w:rPr>
          <w:rFonts w:hint="eastAsia" w:ascii="仿宋_GB2312" w:hAnsi="仿宋_GB2312" w:eastAsia="仿宋_GB2312" w:cs="仿宋_GB2312"/>
          <w:color w:val="auto"/>
          <w:sz w:val="32"/>
          <w:szCs w:val="32"/>
        </w:rPr>
        <w:t>要切实履行基础教育办学的主体责任，健全财政投入为主、多渠道筹措经费的教育投入体制，落实教育领域市</w:t>
      </w:r>
      <w:r>
        <w:rPr>
          <w:rFonts w:hint="eastAsia" w:ascii="仿宋_GB2312" w:hAnsi="仿宋_GB2312" w:eastAsia="仿宋_GB2312" w:cs="仿宋_GB2312"/>
          <w:color w:val="auto"/>
          <w:sz w:val="32"/>
          <w:szCs w:val="32"/>
          <w:lang w:eastAsia="zh-CN"/>
        </w:rPr>
        <w:t>、区（县级市，茂名滨海新区、高新区）</w:t>
      </w:r>
      <w:r>
        <w:rPr>
          <w:rFonts w:hint="eastAsia" w:ascii="仿宋_GB2312" w:hAnsi="仿宋_GB2312" w:eastAsia="仿宋_GB2312" w:cs="仿宋_GB2312"/>
          <w:color w:val="auto"/>
          <w:sz w:val="32"/>
          <w:szCs w:val="32"/>
        </w:rPr>
        <w:t>财政事权和支出责任划分改革要求，压实市</w:t>
      </w:r>
      <w:r>
        <w:rPr>
          <w:rFonts w:hint="eastAsia" w:ascii="仿宋_GB2312" w:hAnsi="仿宋_GB2312" w:eastAsia="仿宋_GB2312" w:cs="仿宋_GB2312"/>
          <w:color w:val="auto"/>
          <w:sz w:val="32"/>
          <w:szCs w:val="32"/>
          <w:lang w:eastAsia="zh-CN"/>
        </w:rPr>
        <w:t>、区（县级市，茂名滨海新区、高新区）</w:t>
      </w:r>
      <w:r>
        <w:rPr>
          <w:rFonts w:hint="eastAsia" w:ascii="仿宋_GB2312" w:hAnsi="仿宋_GB2312" w:eastAsia="仿宋_GB2312" w:cs="仿宋_GB2312"/>
          <w:color w:val="auto"/>
          <w:sz w:val="32"/>
          <w:szCs w:val="32"/>
        </w:rPr>
        <w:t>各级政府</w:t>
      </w:r>
      <w:r>
        <w:rPr>
          <w:rFonts w:hint="eastAsia" w:ascii="仿宋_GB2312" w:hAnsi="仿宋_GB2312" w:eastAsia="仿宋_GB2312" w:cs="仿宋_GB2312"/>
          <w:color w:val="auto"/>
          <w:sz w:val="32"/>
          <w:szCs w:val="32"/>
          <w:shd w:val="clear" w:color="auto" w:fill="auto"/>
          <w:lang w:eastAsia="zh-CN"/>
        </w:rPr>
        <w:t>（管委会）</w:t>
      </w:r>
      <w:r>
        <w:rPr>
          <w:rFonts w:hint="eastAsia" w:ascii="仿宋_GB2312" w:hAnsi="仿宋_GB2312" w:eastAsia="仿宋_GB2312" w:cs="仿宋_GB2312"/>
          <w:color w:val="auto"/>
          <w:sz w:val="32"/>
          <w:szCs w:val="32"/>
        </w:rPr>
        <w:t>教育支出责任，确保一般公共预算教育支出“两个只增不减”。全面落实各级公办学校生均经费基本标准和生均财政拨款基本标准，建立健全动态调整机制。</w:t>
      </w:r>
      <w:r>
        <w:rPr>
          <w:rFonts w:hint="eastAsia" w:ascii="仿宋_GB2312" w:hAnsi="仿宋_GB2312" w:eastAsia="仿宋_GB2312" w:cs="仿宋_GB2312"/>
          <w:color w:val="auto"/>
          <w:sz w:val="32"/>
          <w:szCs w:val="32"/>
          <w:lang w:val="en-US" w:eastAsia="zh-CN"/>
        </w:rPr>
        <w:t>完善非义务教育培养成本分担机制，按权限和程序适时调整非义务教育学费(保育费)、住宿费等收费标准</w:t>
      </w:r>
      <w:r>
        <w:rPr>
          <w:rFonts w:hint="eastAsia" w:ascii="仿宋_GB2312" w:hAnsi="仿宋_GB2312" w:eastAsia="仿宋_GB2312" w:cs="仿宋_GB2312"/>
          <w:color w:val="auto"/>
          <w:sz w:val="32"/>
          <w:szCs w:val="32"/>
        </w:rPr>
        <w:t>。完善政府补贴、政府购买服务、基金奖励、捐资激励、土地划拨等政策制度，依法落实税费减免政策，引导社会力量加大教育投入，逐步提高教育经费总投入中社会投入所占比重。全面实施预算绩效管理，将绩效管理范围覆盖所有财政教育资金，并深度融入预算编制、执行、监督全过程。健全教育经费使用内部控制，完善经费统计公告和财务信息公开制度。加强教育内部审计，积极推进审计和审计整改全覆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健全教育建设项目推进机制。</w:t>
      </w:r>
      <w:r>
        <w:rPr>
          <w:rFonts w:hint="eastAsia" w:ascii="仿宋_GB2312" w:hAnsi="仿宋_GB2312" w:eastAsia="仿宋_GB2312" w:cs="仿宋_GB2312"/>
          <w:color w:val="auto"/>
          <w:sz w:val="32"/>
          <w:szCs w:val="32"/>
        </w:rPr>
        <w:t>根据区域城镇化进程、产业布局、常住人口增长和流动情况，</w:t>
      </w:r>
      <w:r>
        <w:rPr>
          <w:rFonts w:hint="eastAsia" w:ascii="仿宋_GB2312" w:hAnsi="仿宋_GB2312" w:eastAsia="仿宋_GB2312" w:cs="仿宋_GB2312"/>
          <w:color w:val="auto"/>
          <w:sz w:val="32"/>
          <w:szCs w:val="32"/>
          <w:highlight w:val="none"/>
          <w:lang w:eastAsia="zh-CN"/>
        </w:rPr>
        <w:t>坚持</w:t>
      </w:r>
      <w:r>
        <w:rPr>
          <w:rFonts w:hint="eastAsia" w:ascii="仿宋_GB2312" w:hAnsi="仿宋_GB2312" w:eastAsia="仿宋_GB2312" w:cs="仿宋_GB2312"/>
          <w:color w:val="auto"/>
          <w:sz w:val="32"/>
          <w:szCs w:val="32"/>
          <w:highlight w:val="none"/>
        </w:rPr>
        <w:t>学校建设规划先行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rPr>
        <w:t>统筹学校布局规划，并纳入本级</w:t>
      </w:r>
      <w:r>
        <w:rPr>
          <w:rFonts w:hint="eastAsia" w:ascii="仿宋_GB2312" w:hAnsi="仿宋_GB2312" w:eastAsia="仿宋_GB2312" w:cs="仿宋_GB2312"/>
          <w:color w:val="auto"/>
          <w:sz w:val="32"/>
          <w:szCs w:val="32"/>
          <w:lang w:eastAsia="zh-CN"/>
        </w:rPr>
        <w:t>教育</w:t>
      </w:r>
      <w:r>
        <w:rPr>
          <w:rFonts w:hint="eastAsia" w:ascii="仿宋_GB2312" w:hAnsi="仿宋_GB2312" w:eastAsia="仿宋_GB2312" w:cs="仿宋_GB2312"/>
          <w:color w:val="auto"/>
          <w:sz w:val="32"/>
          <w:szCs w:val="32"/>
        </w:rPr>
        <w:t>发展规划、相关专项规划和国土空间规划，新增建设用地计划指标优先保障学校建设需求，按规定用好土地出让收益计提的教育资金支持基础教育发展。建立公办学位供给与商住用地开发、城市更新的联动机制，按标准足额预留城镇新建住宅小区中小学幼儿园建设用地。制定学校规划建设优惠政策，建立发展改革、教育、财政、自然资源、住房城乡建设等部门并联审批学校建设项目的工作机制，建立绿色通道，加快项目审批和推进工程建设进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完善重大风险防范化解机制。</w:t>
      </w:r>
      <w:r>
        <w:rPr>
          <w:rFonts w:hint="eastAsia" w:ascii="仿宋_GB2312" w:hAnsi="仿宋_GB2312" w:eastAsia="仿宋_GB2312" w:cs="仿宋_GB2312"/>
          <w:color w:val="auto"/>
          <w:sz w:val="32"/>
          <w:szCs w:val="32"/>
        </w:rPr>
        <w:t>加强校园周边整治，形成共</w:t>
      </w:r>
      <w:r>
        <w:rPr>
          <w:rFonts w:hint="eastAsia" w:ascii="仿宋_GB2312" w:hAnsi="仿宋_GB2312" w:eastAsia="仿宋_GB2312" w:cs="仿宋_GB2312"/>
          <w:color w:val="auto"/>
          <w:sz w:val="32"/>
          <w:szCs w:val="32"/>
          <w:shd w:val="clear" w:color="auto" w:fill="auto"/>
        </w:rPr>
        <w:t>保</w:t>
      </w:r>
      <w:r>
        <w:rPr>
          <w:rFonts w:hint="eastAsia" w:ascii="仿宋_GB2312" w:hAnsi="仿宋_GB2312" w:eastAsia="仿宋_GB2312" w:cs="仿宋_GB2312"/>
          <w:color w:val="auto"/>
          <w:sz w:val="32"/>
          <w:szCs w:val="32"/>
        </w:rPr>
        <w:t>校园安全强大合力。建立安全稳定风险隐患评估研判和排查整治的长效机制，定期召开风险隐患评估研判会，适时开展排查整治专项行动。加强学校安全保障体系和应急指挥体系建设，打造智能化学校安全管理平台，利用信息化、大数据手段推进学校安全管理现代化。加大学校安全经费投入，提升各级各类学校“三防”建设水平，配齐配足安保人员和安防设施设备，确保视频监控在幼儿园和学校重点部位全覆盖。强化安全稳定一线队伍的建设和培训，提升安全管理和应急处置的能力素质。进一步完善教学实验安全、学生活动安全、防范学生欺凌等制度。</w:t>
      </w:r>
      <w:r>
        <w:rPr>
          <w:rFonts w:hint="eastAsia" w:ascii="仿宋_GB2312" w:hAnsi="仿宋_GB2312" w:eastAsia="仿宋_GB2312" w:cs="仿宋_GB2312"/>
          <w:color w:val="auto"/>
          <w:sz w:val="32"/>
          <w:szCs w:val="32"/>
          <w:highlight w:val="none"/>
          <w:shd w:val="clear" w:color="auto" w:fill="auto"/>
          <w:lang w:eastAsia="zh-CN"/>
        </w:rPr>
        <w:t>加强公共安全宣传教育，</w:t>
      </w:r>
      <w:r>
        <w:rPr>
          <w:rFonts w:hint="eastAsia" w:ascii="仿宋_GB2312" w:hAnsi="仿宋_GB2312" w:eastAsia="仿宋_GB2312" w:cs="仿宋_GB2312"/>
          <w:color w:val="auto"/>
          <w:sz w:val="32"/>
          <w:szCs w:val="32"/>
          <w:lang w:eastAsia="zh-CN"/>
        </w:rPr>
        <w:t>进一步做好</w:t>
      </w:r>
      <w:r>
        <w:rPr>
          <w:rFonts w:hint="eastAsia" w:ascii="仿宋_GB2312" w:hAnsi="仿宋_GB2312" w:eastAsia="仿宋_GB2312" w:cs="仿宋_GB2312"/>
          <w:color w:val="auto"/>
          <w:sz w:val="32"/>
          <w:szCs w:val="32"/>
          <w:lang w:val="en-US" w:eastAsia="zh-CN"/>
        </w:rPr>
        <w:t>交通安全、消防安全、食品安全、防传染病、防溺水、防欺凌、防诈骗、</w:t>
      </w:r>
      <w:r>
        <w:rPr>
          <w:rFonts w:hint="eastAsia" w:ascii="仿宋_GB2312" w:hAnsi="仿宋_GB2312" w:eastAsia="仿宋_GB2312" w:cs="仿宋_GB2312"/>
          <w:color w:val="auto"/>
          <w:sz w:val="32"/>
          <w:szCs w:val="32"/>
          <w:lang w:eastAsia="zh-CN"/>
        </w:rPr>
        <w:t>防</w:t>
      </w:r>
      <w:r>
        <w:rPr>
          <w:rFonts w:hint="eastAsia" w:ascii="仿宋_GB2312" w:hAnsi="仿宋_GB2312" w:eastAsia="仿宋_GB2312" w:cs="仿宋_GB2312"/>
          <w:color w:val="auto"/>
          <w:sz w:val="32"/>
          <w:szCs w:val="32"/>
        </w:rPr>
        <w:t>性</w:t>
      </w:r>
      <w:r>
        <w:rPr>
          <w:rFonts w:hint="eastAsia" w:ascii="仿宋_GB2312" w:hAnsi="仿宋_GB2312" w:eastAsia="仿宋_GB2312" w:cs="仿宋_GB2312"/>
          <w:color w:val="auto"/>
          <w:sz w:val="32"/>
          <w:szCs w:val="32"/>
          <w:shd w:val="clear" w:color="auto" w:fill="auto"/>
        </w:rPr>
        <w:t>侵</w:t>
      </w:r>
      <w:r>
        <w:rPr>
          <w:rFonts w:hint="eastAsia" w:ascii="仿宋_GB2312" w:hAnsi="仿宋_GB2312" w:eastAsia="仿宋_GB2312" w:cs="仿宋_GB2312"/>
          <w:color w:val="auto"/>
          <w:sz w:val="32"/>
          <w:szCs w:val="32"/>
          <w:lang w:val="en-US" w:eastAsia="zh-CN"/>
        </w:rPr>
        <w:t>等安全教育，加强心理健康教育，进一步强化生命意识、安全意识，提高安全和自我保护能力，严防意外事故发生。</w:t>
      </w:r>
      <w:r>
        <w:rPr>
          <w:rFonts w:hint="eastAsia" w:ascii="仿宋_GB2312" w:hAnsi="仿宋_GB2312" w:eastAsia="仿宋_GB2312" w:cs="仿宋_GB2312"/>
          <w:color w:val="auto"/>
          <w:sz w:val="32"/>
          <w:szCs w:val="32"/>
        </w:rPr>
        <w:t>建立健全与公安、应急、消防等部门联动机制，协同处置校园违法行为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实施更高水平的“平安校园”创建考评，实现更高水平的“平安校园”100%全覆盖。加强对学校安全工作考核</w:t>
      </w:r>
      <w:r>
        <w:rPr>
          <w:rFonts w:hint="eastAsia" w:ascii="仿宋_GB2312" w:hAnsi="仿宋_GB2312" w:eastAsia="仿宋_GB2312" w:cs="仿宋_GB2312"/>
          <w:color w:val="auto"/>
          <w:sz w:val="32"/>
          <w:szCs w:val="32"/>
          <w:shd w:val="clear" w:color="auto" w:fill="auto"/>
        </w:rPr>
        <w:t>，</w:t>
      </w:r>
      <w:r>
        <w:rPr>
          <w:rFonts w:hint="eastAsia" w:ascii="仿宋_GB2312" w:hAnsi="仿宋_GB2312" w:eastAsia="仿宋_GB2312" w:cs="仿宋_GB2312"/>
          <w:color w:val="auto"/>
          <w:sz w:val="32"/>
          <w:szCs w:val="32"/>
        </w:rPr>
        <w:t>构建统一评价体系，积极推进学校安全法治化。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强化规划贯彻落实机制。</w:t>
      </w:r>
      <w:r>
        <w:rPr>
          <w:rFonts w:hint="eastAsia" w:ascii="仿宋_GB2312" w:hAnsi="仿宋_GB2312" w:eastAsia="仿宋_GB2312" w:cs="仿宋_GB2312"/>
          <w:color w:val="auto"/>
          <w:sz w:val="32"/>
          <w:szCs w:val="32"/>
        </w:rPr>
        <w:t>各级政府</w:t>
      </w:r>
      <w:r>
        <w:rPr>
          <w:rFonts w:hint="eastAsia" w:ascii="仿宋_GB2312" w:hAnsi="仿宋_GB2312" w:eastAsia="仿宋_GB2312" w:cs="仿宋_GB2312"/>
          <w:color w:val="auto"/>
          <w:sz w:val="32"/>
          <w:szCs w:val="32"/>
          <w:shd w:val="clear" w:color="auto" w:fill="auto"/>
          <w:lang w:eastAsia="zh-CN"/>
        </w:rPr>
        <w:t>（管委会）</w:t>
      </w:r>
      <w:r>
        <w:rPr>
          <w:rFonts w:hint="eastAsia" w:ascii="仿宋_GB2312" w:hAnsi="仿宋_GB2312" w:eastAsia="仿宋_GB2312" w:cs="仿宋_GB2312"/>
          <w:color w:val="auto"/>
          <w:sz w:val="32"/>
          <w:szCs w:val="32"/>
        </w:rPr>
        <w:t>各职能部门要把贯彻落实本规划、推进教育优先发展和高质量发展作为“十四五”履行教育职责的核心任务，各级各类学校要把贯彻落实本规划、实现立德树人作为“十四五”高质量发展的重要前提。要健全规划落实责任分工和工作协同机制，形成相向而行的破解教育发展主要矛盾、解决教育高质量发展难题的强大合力。要将规划目标任务分解到本地、本部门、本学校每年度的工作计划中，加强年度、期中、期末规划落实情况监测评估，及时调整优化目标任务和策略办法，确保本规划目标任务得到全面实现。要充分发挥主流媒体宣传和监督作用，及时宣传教育改革发展的成功经验，建立社会各界和广大人民群众参与、监督规划实施的机制，凝聚全社会办教育的强大合力，营造教育改革发展的良好社会氛围。</w:t>
      </w:r>
    </w:p>
    <w:p>
      <w:pPr>
        <w:pStyle w:val="2"/>
        <w:pageBreakBefore w:val="0"/>
        <w:kinsoku/>
        <w:wordWrap/>
        <w:overflowPunct/>
        <w:topLinePunct w:val="0"/>
        <w:bidi w:val="0"/>
        <w:snapToGrid/>
        <w:spacing w:line="540" w:lineRule="exact"/>
        <w:ind w:left="0" w:leftChars="0"/>
        <w:textAlignment w:val="auto"/>
        <w:rPr>
          <w:rFonts w:hint="eastAsia" w:ascii="仿宋_GB2312" w:hAnsi="仿宋_GB2312" w:eastAsia="仿宋_GB2312" w:cs="仿宋_GB2312"/>
          <w:color w:val="auto"/>
        </w:rPr>
      </w:pPr>
    </w:p>
    <w:p>
      <w:pPr>
        <w:pStyle w:val="5"/>
        <w:pageBreakBefore w:val="0"/>
        <w:kinsoku/>
        <w:wordWrap/>
        <w:overflowPunct/>
        <w:topLinePunct w:val="0"/>
        <w:bidi w:val="0"/>
        <w:snapToGrid/>
        <w:spacing w:after="0" w:afterLines="0" w:line="540" w:lineRule="exact"/>
        <w:ind w:firstLine="640" w:firstLineChars="200"/>
        <w:textAlignment w:val="auto"/>
        <w:rPr>
          <w:rFonts w:hint="eastAsia" w:ascii="仿宋_GB2312" w:hAnsi="仿宋_GB2312" w:eastAsia="仿宋_GB2312" w:cs="仿宋_GB2312"/>
          <w:bCs/>
          <w:color w:val="auto"/>
          <w:sz w:val="32"/>
          <w:szCs w:val="32"/>
          <w:shd w:val="clear" w:color="auto" w:fill="FFFFFF"/>
          <w:lang w:eastAsia="zh-CN"/>
        </w:rPr>
      </w:pPr>
      <w:bookmarkStart w:id="99" w:name="_Toc1451562331_WPSOffice_Level1"/>
      <w:r>
        <w:rPr>
          <w:rFonts w:hint="eastAsia" w:ascii="仿宋_GB2312" w:hAnsi="仿宋_GB2312" w:eastAsia="仿宋_GB2312" w:cs="仿宋_GB2312"/>
          <w:bCs/>
          <w:color w:val="auto"/>
          <w:sz w:val="32"/>
          <w:szCs w:val="32"/>
          <w:shd w:val="clear" w:color="auto" w:fill="FFFFFF"/>
          <w:lang w:eastAsia="zh-CN"/>
        </w:rPr>
        <w:t>附件：1.茂名市教育发展“十四五”期间实施的十大工程</w:t>
      </w:r>
      <w:bookmarkEnd w:id="99"/>
    </w:p>
    <w:p>
      <w:pPr>
        <w:pStyle w:val="5"/>
        <w:pageBreakBefore w:val="0"/>
        <w:kinsoku/>
        <w:wordWrap/>
        <w:overflowPunct/>
        <w:topLinePunct w:val="0"/>
        <w:bidi w:val="0"/>
        <w:snapToGrid/>
        <w:spacing w:after="0" w:afterLines="0" w:line="540" w:lineRule="exact"/>
        <w:ind w:firstLine="1600" w:firstLineChars="500"/>
        <w:textAlignment w:val="auto"/>
        <w:rPr>
          <w:rFonts w:hint="eastAsia" w:ascii="仿宋_GB2312" w:hAnsi="仿宋_GB2312" w:eastAsia="仿宋_GB2312" w:cs="仿宋_GB2312"/>
          <w:color w:val="auto"/>
          <w:sz w:val="32"/>
          <w:szCs w:val="32"/>
          <w:lang w:eastAsia="zh-CN"/>
        </w:rPr>
      </w:pPr>
      <w:bookmarkStart w:id="100" w:name="_Toc2050134961_WPSOffice_Level1"/>
      <w:r>
        <w:rPr>
          <w:rFonts w:hint="eastAsia" w:ascii="仿宋_GB2312" w:hAnsi="仿宋_GB2312" w:eastAsia="仿宋_GB2312" w:cs="仿宋_GB2312"/>
          <w:color w:val="auto"/>
          <w:sz w:val="32"/>
          <w:szCs w:val="32"/>
          <w:lang w:eastAsia="zh-CN"/>
        </w:rPr>
        <w:t>2.茂名市教育发展“十四五”规划建设项目汇</w:t>
      </w:r>
      <w:bookmarkEnd w:id="100"/>
      <w:r>
        <w:rPr>
          <w:rFonts w:hint="eastAsia" w:ascii="仿宋_GB2312" w:hAnsi="仿宋_GB2312" w:eastAsia="仿宋_GB2312" w:cs="仿宋_GB2312"/>
          <w:color w:val="auto"/>
          <w:sz w:val="32"/>
          <w:szCs w:val="32"/>
          <w:lang w:eastAsia="zh-CN"/>
        </w:rPr>
        <w:t>总表</w:t>
      </w:r>
    </w:p>
    <w:p>
      <w:pPr>
        <w:pStyle w:val="5"/>
        <w:pageBreakBefore w:val="0"/>
        <w:kinsoku/>
        <w:wordWrap/>
        <w:overflowPunct/>
        <w:topLinePunct w:val="0"/>
        <w:bidi w:val="0"/>
        <w:snapToGrid/>
        <w:spacing w:after="0" w:afterLines="0" w:line="540" w:lineRule="exact"/>
        <w:ind w:firstLine="1600" w:firstLineChars="500"/>
        <w:textAlignment w:val="auto"/>
        <w:rPr>
          <w:rFonts w:hint="eastAsia" w:ascii="仿宋_GB2312" w:hAnsi="仿宋_GB2312" w:eastAsia="仿宋_GB2312" w:cs="仿宋_GB2312"/>
          <w:color w:val="auto"/>
          <w:sz w:val="32"/>
          <w:szCs w:val="32"/>
          <w:lang w:eastAsia="zh-CN"/>
        </w:rPr>
      </w:pPr>
      <w:bookmarkStart w:id="101" w:name="_Toc1664857094_WPSOffice_Level1"/>
      <w:r>
        <w:rPr>
          <w:rFonts w:hint="eastAsia" w:ascii="仿宋_GB2312" w:hAnsi="仿宋_GB2312" w:eastAsia="仿宋_GB2312" w:cs="仿宋_GB2312"/>
          <w:color w:val="auto"/>
          <w:sz w:val="32"/>
          <w:szCs w:val="32"/>
          <w:lang w:eastAsia="zh-CN"/>
        </w:rPr>
        <w:t>3.“十四五”期间基础教育公办学位建设任务表</w:t>
      </w:r>
      <w:bookmarkEnd w:id="101"/>
    </w:p>
    <w:p>
      <w:pPr>
        <w:pStyle w:val="5"/>
        <w:spacing w:after="0" w:afterLines="0" w:line="560" w:lineRule="exact"/>
        <w:rPr>
          <w:rFonts w:ascii="Times New Roman" w:hAnsi="Times New Roman" w:eastAsia="仿宋" w:cs="Times New Roman"/>
          <w:color w:val="auto"/>
          <w:sz w:val="32"/>
          <w:szCs w:val="32"/>
          <w:lang w:eastAsia="zh-CN"/>
        </w:rPr>
      </w:pPr>
    </w:p>
    <w:p>
      <w:pPr>
        <w:pStyle w:val="5"/>
        <w:spacing w:after="0" w:afterLines="0" w:line="560" w:lineRule="exact"/>
        <w:rPr>
          <w:rFonts w:ascii="Times New Roman" w:hAnsi="Times New Roman" w:eastAsia="黑体" w:cs="Times New Roman"/>
          <w:color w:val="auto"/>
          <w:sz w:val="32"/>
          <w:szCs w:val="32"/>
          <w:lang w:eastAsia="zh-CN"/>
        </w:rPr>
        <w:sectPr>
          <w:footerReference r:id="rId11" w:type="first"/>
          <w:footerReference r:id="rId10" w:type="default"/>
          <w:pgSz w:w="11906" w:h="16838"/>
          <w:pgMar w:top="1927" w:right="1304" w:bottom="1531" w:left="1531" w:header="851" w:footer="1417" w:gutter="0"/>
          <w:pgBorders>
            <w:top w:val="none" w:sz="0" w:space="0"/>
            <w:left w:val="none" w:sz="0" w:space="0"/>
            <w:bottom w:val="none" w:sz="0" w:space="0"/>
            <w:right w:val="none" w:sz="0" w:space="0"/>
          </w:pgBorders>
          <w:pgNumType w:fmt="numberInDash" w:start="1"/>
          <w:cols w:space="720" w:num="1"/>
          <w:titlePg/>
          <w:docGrid w:type="linesAndChars" w:linePitch="579" w:charSpace="0"/>
        </w:sectPr>
      </w:pPr>
    </w:p>
    <w:p>
      <w:pPr>
        <w:pStyle w:val="5"/>
        <w:spacing w:after="0" w:afterLines="0" w:line="560" w:lineRule="exact"/>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附件1</w:t>
      </w:r>
    </w:p>
    <w:p>
      <w:pPr>
        <w:pStyle w:val="5"/>
        <w:spacing w:after="0" w:afterLines="0" w:line="560" w:lineRule="exact"/>
        <w:jc w:val="center"/>
        <w:outlineLvl w:val="0"/>
        <w:rPr>
          <w:rFonts w:ascii="方正小标宋简体" w:hAnsi="方正小标宋简体" w:eastAsia="方正小标宋简体" w:cs="方正小标宋简体"/>
          <w:bCs/>
          <w:color w:val="auto"/>
          <w:sz w:val="44"/>
          <w:szCs w:val="44"/>
          <w:shd w:val="clear" w:color="auto" w:fill="FFFFFF"/>
          <w:lang w:eastAsia="zh-CN"/>
        </w:rPr>
      </w:pPr>
      <w:bookmarkStart w:id="102" w:name="_Toc436618750_WPSOffice_Level1"/>
      <w:bookmarkStart w:id="103" w:name="_Toc98694821"/>
      <w:r>
        <w:rPr>
          <w:rFonts w:hint="eastAsia" w:ascii="方正小标宋简体" w:hAnsi="方正小标宋简体" w:eastAsia="方正小标宋简体" w:cs="方正小标宋简体"/>
          <w:bCs/>
          <w:color w:val="auto"/>
          <w:sz w:val="44"/>
          <w:szCs w:val="44"/>
          <w:shd w:val="clear" w:color="auto" w:fill="FFFFFF"/>
          <w:lang w:eastAsia="zh-CN"/>
        </w:rPr>
        <w:t>茂名市教育发展“十四五”期间实施的十大工程</w:t>
      </w:r>
      <w:bookmarkEnd w:id="102"/>
      <w:bookmarkEnd w:id="103"/>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835"/>
        <w:gridCol w:w="7797"/>
        <w:gridCol w:w="1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675" w:type="dxa"/>
            <w:noWrap w:val="0"/>
            <w:vAlign w:val="center"/>
          </w:tcPr>
          <w:p>
            <w:pPr>
              <w:spacing w:line="360" w:lineRule="exact"/>
              <w:jc w:val="center"/>
              <w:rPr>
                <w:rFonts w:hint="eastAsia" w:ascii="仿宋_GB2312" w:hAnsi="仿宋_GB2312" w:eastAsia="仿宋_GB2312" w:cs="仿宋_GB2312"/>
                <w:b/>
                <w:bCs/>
                <w:color w:val="auto"/>
                <w:sz w:val="20"/>
                <w:szCs w:val="20"/>
                <w:lang w:eastAsia="en-US"/>
              </w:rPr>
            </w:pPr>
            <w:r>
              <w:rPr>
                <w:rFonts w:hint="eastAsia" w:ascii="仿宋_GB2312" w:hAnsi="仿宋_GB2312" w:eastAsia="仿宋_GB2312" w:cs="仿宋_GB2312"/>
                <w:b/>
                <w:bCs/>
                <w:color w:val="auto"/>
                <w:sz w:val="20"/>
                <w:szCs w:val="20"/>
                <w:lang w:eastAsia="en-US"/>
              </w:rPr>
              <w:t>序号</w:t>
            </w:r>
          </w:p>
        </w:tc>
        <w:tc>
          <w:tcPr>
            <w:tcW w:w="2835" w:type="dxa"/>
            <w:noWrap w:val="0"/>
            <w:vAlign w:val="center"/>
          </w:tcPr>
          <w:p>
            <w:pPr>
              <w:spacing w:line="360" w:lineRule="exact"/>
              <w:jc w:val="center"/>
              <w:rPr>
                <w:rFonts w:hint="eastAsia" w:ascii="仿宋_GB2312" w:hAnsi="仿宋_GB2312" w:eastAsia="仿宋_GB2312" w:cs="仿宋_GB2312"/>
                <w:b/>
                <w:bCs/>
                <w:color w:val="auto"/>
                <w:sz w:val="20"/>
                <w:szCs w:val="20"/>
                <w:lang w:eastAsia="en-US"/>
              </w:rPr>
            </w:pPr>
            <w:r>
              <w:rPr>
                <w:rFonts w:hint="eastAsia" w:ascii="仿宋_GB2312" w:hAnsi="仿宋_GB2312" w:eastAsia="仿宋_GB2312" w:cs="仿宋_GB2312"/>
                <w:b/>
                <w:bCs/>
                <w:color w:val="auto"/>
                <w:sz w:val="20"/>
                <w:szCs w:val="20"/>
                <w:lang w:eastAsia="en-US"/>
              </w:rPr>
              <w:t>工程名称</w:t>
            </w:r>
          </w:p>
        </w:tc>
        <w:tc>
          <w:tcPr>
            <w:tcW w:w="7797" w:type="dxa"/>
            <w:noWrap w:val="0"/>
            <w:vAlign w:val="center"/>
          </w:tcPr>
          <w:p>
            <w:pPr>
              <w:spacing w:line="360" w:lineRule="exact"/>
              <w:jc w:val="center"/>
              <w:rPr>
                <w:rFonts w:hint="eastAsia" w:ascii="仿宋_GB2312" w:hAnsi="仿宋_GB2312" w:eastAsia="仿宋_GB2312" w:cs="仿宋_GB2312"/>
                <w:b/>
                <w:bCs/>
                <w:color w:val="auto"/>
                <w:sz w:val="20"/>
                <w:szCs w:val="20"/>
                <w:lang w:eastAsia="en-US"/>
              </w:rPr>
            </w:pPr>
            <w:r>
              <w:rPr>
                <w:rFonts w:hint="eastAsia" w:ascii="仿宋_GB2312" w:hAnsi="仿宋_GB2312" w:eastAsia="仿宋_GB2312" w:cs="仿宋_GB2312"/>
                <w:b/>
                <w:bCs/>
                <w:color w:val="auto"/>
                <w:sz w:val="20"/>
                <w:szCs w:val="20"/>
                <w:lang w:eastAsia="en-US"/>
              </w:rPr>
              <w:t>具体内容</w:t>
            </w:r>
          </w:p>
        </w:tc>
        <w:tc>
          <w:tcPr>
            <w:tcW w:w="1664" w:type="dxa"/>
            <w:noWrap w:val="0"/>
            <w:vAlign w:val="center"/>
          </w:tcPr>
          <w:p>
            <w:pPr>
              <w:spacing w:line="360" w:lineRule="exact"/>
              <w:jc w:val="center"/>
              <w:rPr>
                <w:rFonts w:hint="eastAsia" w:ascii="仿宋_GB2312" w:hAnsi="仿宋_GB2312" w:eastAsia="仿宋_GB2312" w:cs="仿宋_GB2312"/>
                <w:b/>
                <w:bCs/>
                <w:color w:val="auto"/>
                <w:sz w:val="20"/>
                <w:szCs w:val="20"/>
                <w:lang w:eastAsia="en-US"/>
              </w:rPr>
            </w:pPr>
            <w:r>
              <w:rPr>
                <w:rFonts w:hint="eastAsia" w:ascii="仿宋_GB2312" w:hAnsi="仿宋_GB2312" w:eastAsia="仿宋_GB2312" w:cs="仿宋_GB2312"/>
                <w:b/>
                <w:bCs/>
                <w:color w:val="auto"/>
                <w:sz w:val="20"/>
                <w:szCs w:val="20"/>
                <w:lang w:eastAsia="en-US"/>
              </w:rPr>
              <w:t>起止年限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7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1</w:t>
            </w:r>
          </w:p>
        </w:tc>
        <w:tc>
          <w:tcPr>
            <w:tcW w:w="283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新时代立德树人工程</w:t>
            </w: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①遴选建设100所左右市级课程思政工作示范学校。</w:t>
            </w:r>
          </w:p>
        </w:tc>
        <w:tc>
          <w:tcPr>
            <w:tcW w:w="1664" w:type="dxa"/>
            <w:vMerge w:val="restart"/>
            <w:noWrap w:val="0"/>
            <w:vAlign w:val="center"/>
          </w:tcPr>
          <w:p>
            <w:pPr>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2021—2025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②遴选建设30个左右市级课程</w:t>
            </w:r>
            <w:r>
              <w:rPr>
                <w:rFonts w:hint="eastAsia" w:ascii="仿宋_GB2312" w:hAnsi="仿宋_GB2312" w:eastAsia="仿宋_GB2312" w:cs="仿宋_GB2312"/>
                <w:color w:val="auto"/>
                <w:sz w:val="20"/>
                <w:szCs w:val="20"/>
                <w:shd w:val="clear" w:color="auto" w:fill="auto"/>
                <w:lang w:eastAsia="en-US"/>
              </w:rPr>
              <w:t>思政</w:t>
            </w:r>
            <w:r>
              <w:rPr>
                <w:rFonts w:hint="eastAsia" w:ascii="仿宋_GB2312" w:hAnsi="仿宋_GB2312" w:eastAsia="仿宋_GB2312" w:cs="仿宋_GB2312"/>
                <w:color w:val="auto"/>
                <w:sz w:val="20"/>
                <w:szCs w:val="20"/>
                <w:lang w:eastAsia="en-US"/>
              </w:rPr>
              <w:t>示范团队。</w:t>
            </w:r>
          </w:p>
        </w:tc>
        <w:tc>
          <w:tcPr>
            <w:tcW w:w="1664" w:type="dxa"/>
            <w:vMerge w:val="continue"/>
            <w:noWrap w:val="0"/>
            <w:vAlign w:val="center"/>
          </w:tcPr>
          <w:p>
            <w:pPr>
              <w:jc w:val="cente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③遴选建设50个左右市级课程</w:t>
            </w:r>
            <w:r>
              <w:rPr>
                <w:rFonts w:hint="eastAsia" w:ascii="仿宋_GB2312" w:hAnsi="仿宋_GB2312" w:eastAsia="仿宋_GB2312" w:cs="仿宋_GB2312"/>
                <w:color w:val="auto"/>
                <w:sz w:val="20"/>
                <w:szCs w:val="20"/>
                <w:shd w:val="clear" w:color="auto" w:fill="auto"/>
                <w:lang w:eastAsia="en-US"/>
              </w:rPr>
              <w:t>思政</w:t>
            </w:r>
            <w:r>
              <w:rPr>
                <w:rFonts w:hint="eastAsia" w:ascii="仿宋_GB2312" w:hAnsi="仿宋_GB2312" w:eastAsia="仿宋_GB2312" w:cs="仿宋_GB2312"/>
                <w:color w:val="auto"/>
                <w:sz w:val="20"/>
                <w:szCs w:val="20"/>
                <w:lang w:eastAsia="en-US"/>
              </w:rPr>
              <w:t>示范课堂。</w:t>
            </w:r>
          </w:p>
        </w:tc>
        <w:tc>
          <w:tcPr>
            <w:tcW w:w="1664" w:type="dxa"/>
            <w:vMerge w:val="continue"/>
            <w:noWrap w:val="0"/>
            <w:vAlign w:val="center"/>
          </w:tcPr>
          <w:p>
            <w:pPr>
              <w:jc w:val="cente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④打造一批校园网络文化作品。</w:t>
            </w:r>
          </w:p>
        </w:tc>
        <w:tc>
          <w:tcPr>
            <w:tcW w:w="1664" w:type="dxa"/>
            <w:vMerge w:val="continue"/>
            <w:noWrap w:val="0"/>
            <w:vAlign w:val="center"/>
          </w:tcPr>
          <w:p>
            <w:pPr>
              <w:jc w:val="cente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⑤培育一批优秀学生社团。</w:t>
            </w:r>
          </w:p>
        </w:tc>
        <w:tc>
          <w:tcPr>
            <w:tcW w:w="1664" w:type="dxa"/>
            <w:vMerge w:val="continue"/>
            <w:noWrap w:val="0"/>
            <w:vAlign w:val="center"/>
          </w:tcPr>
          <w:p>
            <w:pPr>
              <w:jc w:val="cente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67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w:t>
            </w:r>
          </w:p>
        </w:tc>
        <w:tc>
          <w:tcPr>
            <w:tcW w:w="283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教育信息化创新工程</w:t>
            </w: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①基本完成教育系统基于IPv6和5G的下一代互联网基础设施设备和信息系统升级改造，提速城域网光纤到学校教育宽带网带宽不低于1G。</w:t>
            </w:r>
          </w:p>
        </w:tc>
        <w:tc>
          <w:tcPr>
            <w:tcW w:w="1664" w:type="dxa"/>
            <w:noWrap w:val="0"/>
            <w:vAlign w:val="center"/>
          </w:tcPr>
          <w:p>
            <w:pPr>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2021—2025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②建成10个信息化中心学校（智慧校园）示范校。</w:t>
            </w:r>
          </w:p>
        </w:tc>
        <w:tc>
          <w:tcPr>
            <w:tcW w:w="1664" w:type="dxa"/>
            <w:noWrap w:val="0"/>
            <w:vAlign w:val="center"/>
          </w:tcPr>
          <w:p>
            <w:pPr>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2021—2023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③</w:t>
            </w:r>
            <w:r>
              <w:rPr>
                <w:rFonts w:hint="eastAsia" w:ascii="仿宋_GB2312" w:hAnsi="仿宋_GB2312" w:eastAsia="仿宋_GB2312" w:cs="仿宋_GB2312"/>
                <w:color w:val="auto"/>
                <w:sz w:val="20"/>
                <w:szCs w:val="20"/>
                <w:lang w:eastAsia="zh-CN"/>
              </w:rPr>
              <w:t>构建</w:t>
            </w:r>
            <w:r>
              <w:rPr>
                <w:rFonts w:hint="eastAsia" w:ascii="仿宋_GB2312" w:hAnsi="仿宋_GB2312" w:eastAsia="仿宋_GB2312" w:cs="仿宋_GB2312"/>
                <w:color w:val="auto"/>
                <w:sz w:val="20"/>
                <w:szCs w:val="20"/>
                <w:lang w:val="en-US" w:eastAsia="zh-CN"/>
              </w:rPr>
              <w:t>80所以上乡镇初中参与的“名师课堂”应用共同体。</w:t>
            </w:r>
          </w:p>
        </w:tc>
        <w:tc>
          <w:tcPr>
            <w:tcW w:w="1664" w:type="dxa"/>
            <w:noWrap w:val="0"/>
            <w:vAlign w:val="center"/>
          </w:tcPr>
          <w:p>
            <w:pPr>
              <w:jc w:val="center"/>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en-US"/>
              </w:rPr>
              <w:t>2021—202</w:t>
            </w:r>
            <w:r>
              <w:rPr>
                <w:rFonts w:hint="eastAsia" w:ascii="仿宋_GB2312" w:hAnsi="仿宋_GB2312" w:eastAsia="仿宋_GB2312" w:cs="仿宋_GB2312"/>
                <w:color w:val="auto"/>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④</w:t>
            </w:r>
            <w:r>
              <w:rPr>
                <w:rFonts w:hint="eastAsia" w:ascii="仿宋_GB2312" w:hAnsi="仿宋_GB2312" w:eastAsia="仿宋_GB2312" w:cs="仿宋_GB2312"/>
                <w:color w:val="auto"/>
                <w:sz w:val="20"/>
                <w:szCs w:val="20"/>
                <w:lang w:val="en-US" w:eastAsia="zh-CN"/>
              </w:rPr>
              <w:t>打造30所“名师课堂”应用示范学校。</w:t>
            </w:r>
          </w:p>
        </w:tc>
        <w:tc>
          <w:tcPr>
            <w:tcW w:w="1664" w:type="dxa"/>
            <w:noWrap w:val="0"/>
            <w:vAlign w:val="center"/>
          </w:tcPr>
          <w:p>
            <w:pPr>
              <w:jc w:val="center"/>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en-US"/>
              </w:rPr>
              <w:t>2021—202</w:t>
            </w:r>
            <w:r>
              <w:rPr>
                <w:rFonts w:hint="eastAsia" w:ascii="仿宋_GB2312" w:hAnsi="仿宋_GB2312" w:eastAsia="仿宋_GB2312" w:cs="仿宋_GB2312"/>
                <w:color w:val="auto"/>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trPr>
        <w:tc>
          <w:tcPr>
            <w:tcW w:w="67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3</w:t>
            </w:r>
          </w:p>
        </w:tc>
        <w:tc>
          <w:tcPr>
            <w:tcW w:w="283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全面提升学生综合素质工程</w:t>
            </w: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①建设全国青少年校园足球、篮球、排球特色学校分别达110、10、6所以上，省级校园篮球、排球、游泳推广学校分别达50、30、8所以上。</w:t>
            </w:r>
          </w:p>
        </w:tc>
        <w:tc>
          <w:tcPr>
            <w:tcW w:w="1664" w:type="dxa"/>
            <w:vMerge w:val="restart"/>
            <w:noWrap w:val="0"/>
            <w:vAlign w:val="center"/>
          </w:tcPr>
          <w:p>
            <w:pPr>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2021—2025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②</w:t>
            </w:r>
            <w:r>
              <w:rPr>
                <w:rFonts w:hint="eastAsia" w:ascii="仿宋_GB2312" w:hAnsi="仿宋_GB2312" w:eastAsia="仿宋_GB2312" w:cs="仿宋_GB2312"/>
                <w:color w:val="auto"/>
                <w:sz w:val="20"/>
                <w:szCs w:val="20"/>
                <w:lang w:val="en-US" w:eastAsia="zh-CN"/>
              </w:rPr>
              <w:t>2026年前，</w:t>
            </w:r>
            <w:r>
              <w:rPr>
                <w:rFonts w:hint="eastAsia" w:ascii="仿宋_GB2312" w:hAnsi="仿宋_GB2312" w:eastAsia="仿宋_GB2312" w:cs="仿宋_GB2312"/>
                <w:color w:val="auto"/>
                <w:sz w:val="20"/>
                <w:szCs w:val="20"/>
                <w:lang w:eastAsia="en-US"/>
              </w:rPr>
              <w:t>市级开设体育传统特色学校的项目不少于8个，每个区（县级市）不少于3个，项目在小学、初中、高中按6</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en-US"/>
              </w:rPr>
              <w:t>3</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en-US"/>
              </w:rPr>
              <w:t>1比例布局。</w:t>
            </w:r>
          </w:p>
        </w:tc>
        <w:tc>
          <w:tcPr>
            <w:tcW w:w="1664" w:type="dxa"/>
            <w:vMerge w:val="continue"/>
            <w:noWrap w:val="0"/>
            <w:vAlign w:val="center"/>
          </w:tcPr>
          <w:p>
            <w:pPr>
              <w:jc w:val="cente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③每年创建2所以上市级近视防控示范校，每年每</w:t>
            </w:r>
            <w:r>
              <w:rPr>
                <w:rFonts w:hint="eastAsia" w:ascii="仿宋_GB2312" w:hAnsi="仿宋_GB2312" w:eastAsia="仿宋_GB2312" w:cs="仿宋_GB2312"/>
                <w:color w:val="auto"/>
                <w:sz w:val="20"/>
                <w:szCs w:val="20"/>
                <w:lang w:eastAsia="zh-CN"/>
              </w:rPr>
              <w:t>区、县级市</w:t>
            </w:r>
            <w:r>
              <w:rPr>
                <w:rFonts w:hint="eastAsia" w:ascii="仿宋_GB2312" w:hAnsi="仿宋_GB2312" w:eastAsia="仿宋_GB2312" w:cs="仿宋_GB2312"/>
                <w:color w:val="auto"/>
                <w:sz w:val="20"/>
                <w:szCs w:val="20"/>
                <w:lang w:eastAsia="en-US"/>
              </w:rPr>
              <w:t>创建10所健康学校。</w:t>
            </w:r>
          </w:p>
        </w:tc>
        <w:tc>
          <w:tcPr>
            <w:tcW w:w="1664" w:type="dxa"/>
            <w:vMerge w:val="continue"/>
            <w:noWrap w:val="0"/>
            <w:vAlign w:val="center"/>
          </w:tcPr>
          <w:p>
            <w:pPr>
              <w:jc w:val="cente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④培育建设100所劳动教育特色学校，建立5个中小学生劳动教育基地。</w:t>
            </w:r>
          </w:p>
        </w:tc>
        <w:tc>
          <w:tcPr>
            <w:tcW w:w="1664" w:type="dxa"/>
            <w:vMerge w:val="continue"/>
            <w:noWrap w:val="0"/>
            <w:vAlign w:val="center"/>
          </w:tcPr>
          <w:p>
            <w:pPr>
              <w:jc w:val="cente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4</w:t>
            </w:r>
          </w:p>
        </w:tc>
        <w:tc>
          <w:tcPr>
            <w:tcW w:w="283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学前教育科学保教示范工程</w:t>
            </w: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①</w:t>
            </w:r>
            <w:r>
              <w:rPr>
                <w:rFonts w:hint="eastAsia" w:ascii="仿宋_GB2312" w:hAnsi="仿宋_GB2312" w:eastAsia="仿宋_GB2312" w:cs="仿宋_GB2312"/>
                <w:bCs/>
                <w:color w:val="auto"/>
                <w:sz w:val="20"/>
                <w:szCs w:val="20"/>
                <w:shd w:val="clear" w:color="auto" w:fill="FFFFFF"/>
                <w:lang w:eastAsia="en-US"/>
              </w:rPr>
              <w:t>培育10个以上幼儿园科学保教示范项目。</w:t>
            </w:r>
          </w:p>
        </w:tc>
        <w:tc>
          <w:tcPr>
            <w:tcW w:w="1664" w:type="dxa"/>
            <w:vMerge w:val="restart"/>
            <w:noWrap w:val="0"/>
            <w:vAlign w:val="center"/>
          </w:tcPr>
          <w:p>
            <w:pPr>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2021—2025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②</w:t>
            </w:r>
            <w:r>
              <w:rPr>
                <w:rFonts w:hint="eastAsia" w:ascii="仿宋_GB2312" w:hAnsi="仿宋_GB2312" w:eastAsia="仿宋_GB2312" w:cs="仿宋_GB2312"/>
                <w:bCs/>
                <w:color w:val="auto"/>
                <w:sz w:val="20"/>
                <w:szCs w:val="20"/>
                <w:shd w:val="clear" w:color="auto" w:fill="FFFFFF"/>
                <w:lang w:eastAsia="en-US"/>
              </w:rPr>
              <w:t>“5080”攻坚工程成果进一步巩固提升，乡镇中心幼儿园、村级幼儿园覆盖率达100%，规范化幼儿园覆盖率达85%以上。</w:t>
            </w:r>
          </w:p>
        </w:tc>
        <w:tc>
          <w:tcPr>
            <w:tcW w:w="1664" w:type="dxa"/>
            <w:vMerge w:val="continue"/>
            <w:noWrap w:val="0"/>
            <w:vAlign w:val="center"/>
          </w:tcPr>
          <w:p>
            <w:pPr>
              <w:jc w:val="cente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trPr>
        <w:tc>
          <w:tcPr>
            <w:tcW w:w="675" w:type="dxa"/>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5</w:t>
            </w:r>
          </w:p>
        </w:tc>
        <w:tc>
          <w:tcPr>
            <w:tcW w:w="2835" w:type="dxa"/>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bCs/>
                <w:color w:val="auto"/>
                <w:sz w:val="20"/>
                <w:szCs w:val="20"/>
                <w:shd w:val="clear" w:color="auto" w:fill="FFFFFF"/>
                <w:lang w:eastAsia="en-US"/>
              </w:rPr>
              <w:t>中小学集团化办学培育工程</w:t>
            </w: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bCs/>
                <w:color w:val="auto"/>
                <w:sz w:val="20"/>
                <w:szCs w:val="20"/>
                <w:shd w:val="clear" w:color="auto" w:fill="FFFFFF"/>
                <w:lang w:eastAsia="en-US"/>
              </w:rPr>
              <w:t>组建20个教育集团，培育创建10个以上市级优质特色教育集团，至少创建 2个省级优质特色教育集团。</w:t>
            </w:r>
          </w:p>
        </w:tc>
        <w:tc>
          <w:tcPr>
            <w:tcW w:w="1664" w:type="dxa"/>
            <w:noWrap w:val="0"/>
            <w:vAlign w:val="center"/>
          </w:tcPr>
          <w:p>
            <w:pPr>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2021—2025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6</w:t>
            </w:r>
          </w:p>
        </w:tc>
        <w:tc>
          <w:tcPr>
            <w:tcW w:w="2835" w:type="dxa"/>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bCs/>
                <w:color w:val="auto"/>
                <w:sz w:val="20"/>
                <w:szCs w:val="20"/>
                <w:shd w:val="clear" w:color="auto" w:fill="FFFFFF"/>
                <w:lang w:eastAsia="en-US"/>
              </w:rPr>
              <w:t>特色普通高中创建工程</w:t>
            </w: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培育10个市级特色示范高中，98%以上普通高中形成鲜明的办学特色。</w:t>
            </w:r>
          </w:p>
        </w:tc>
        <w:tc>
          <w:tcPr>
            <w:tcW w:w="1664" w:type="dxa"/>
            <w:noWrap w:val="0"/>
            <w:vAlign w:val="center"/>
          </w:tcPr>
          <w:p>
            <w:pPr>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2021—2025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7</w:t>
            </w:r>
          </w:p>
        </w:tc>
        <w:tc>
          <w:tcPr>
            <w:tcW w:w="283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bCs/>
                <w:color w:val="auto"/>
                <w:sz w:val="20"/>
                <w:szCs w:val="20"/>
                <w:shd w:val="clear" w:color="auto" w:fill="FFFFFF"/>
                <w:lang w:eastAsia="en-US"/>
              </w:rPr>
              <w:t>职业教育扩容提质强服务工程</w:t>
            </w: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①</w:t>
            </w:r>
            <w:r>
              <w:rPr>
                <w:rFonts w:hint="eastAsia" w:ascii="仿宋_GB2312" w:hAnsi="仿宋_GB2312" w:eastAsia="仿宋_GB2312" w:cs="仿宋_GB2312"/>
                <w:bCs/>
                <w:color w:val="auto"/>
                <w:sz w:val="20"/>
                <w:szCs w:val="20"/>
                <w:shd w:val="clear" w:color="auto" w:fill="FFFFFF"/>
                <w:lang w:eastAsia="en-US"/>
              </w:rPr>
              <w:t>全市职业学校新建工程项目</w:t>
            </w:r>
            <w:r>
              <w:rPr>
                <w:rFonts w:hint="eastAsia" w:ascii="仿宋_GB2312" w:hAnsi="仿宋_GB2312" w:eastAsia="仿宋_GB2312" w:cs="仿宋_GB2312"/>
                <w:bCs/>
                <w:color w:val="auto"/>
                <w:sz w:val="20"/>
                <w:szCs w:val="20"/>
                <w:shd w:val="clear" w:color="auto" w:fill="FFFFFF"/>
                <w:lang w:val="en-US" w:eastAsia="zh-CN"/>
              </w:rPr>
              <w:t>16</w:t>
            </w:r>
            <w:r>
              <w:rPr>
                <w:rFonts w:hint="eastAsia" w:ascii="仿宋_GB2312" w:hAnsi="仿宋_GB2312" w:eastAsia="仿宋_GB2312" w:cs="仿宋_GB2312"/>
                <w:bCs/>
                <w:color w:val="auto"/>
                <w:sz w:val="20"/>
                <w:szCs w:val="20"/>
                <w:shd w:val="clear" w:color="auto" w:fill="FFFFFF"/>
                <w:lang w:eastAsia="en-US"/>
              </w:rPr>
              <w:t>个，中高职学校在校生总规模达到14.5万人。</w:t>
            </w:r>
          </w:p>
        </w:tc>
        <w:tc>
          <w:tcPr>
            <w:tcW w:w="1664" w:type="dxa"/>
            <w:vMerge w:val="restart"/>
            <w:noWrap w:val="0"/>
            <w:vAlign w:val="center"/>
          </w:tcPr>
          <w:p>
            <w:pPr>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2021—2025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②</w:t>
            </w:r>
            <w:r>
              <w:rPr>
                <w:rFonts w:hint="eastAsia" w:ascii="仿宋_GB2312" w:hAnsi="仿宋_GB2312" w:eastAsia="仿宋_GB2312" w:cs="仿宋_GB2312"/>
                <w:bCs/>
                <w:color w:val="auto"/>
                <w:sz w:val="20"/>
                <w:szCs w:val="20"/>
                <w:shd w:val="clear" w:color="auto" w:fill="FFFFFF"/>
                <w:lang w:eastAsia="en-US"/>
              </w:rPr>
              <w:t>办好10个省级精准对接、精准育人的“双精准”示范专业。</w:t>
            </w:r>
          </w:p>
        </w:tc>
        <w:tc>
          <w:tcPr>
            <w:tcW w:w="1664" w:type="dxa"/>
            <w:vMerge w:val="continue"/>
            <w:noWrap w:val="0"/>
            <w:vAlign w:val="center"/>
          </w:tcPr>
          <w:p>
            <w:pPr>
              <w:jc w:val="cente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③</w:t>
            </w:r>
            <w:r>
              <w:rPr>
                <w:rFonts w:hint="eastAsia" w:ascii="仿宋_GB2312" w:hAnsi="仿宋_GB2312" w:eastAsia="仿宋_GB2312" w:cs="仿宋_GB2312"/>
                <w:bCs/>
                <w:color w:val="auto"/>
                <w:sz w:val="20"/>
                <w:szCs w:val="20"/>
                <w:shd w:val="clear" w:color="auto" w:fill="FFFFFF"/>
                <w:lang w:eastAsia="en-US"/>
              </w:rPr>
              <w:t>建设5个左右骨干企业与高校、职业院校共同组建的校企合作职业教育集团、产</w:t>
            </w:r>
            <w:r>
              <w:rPr>
                <w:rFonts w:hint="eastAsia" w:ascii="仿宋_GB2312" w:hAnsi="仿宋_GB2312" w:eastAsia="仿宋_GB2312" w:cs="仿宋_GB2312"/>
                <w:bCs/>
                <w:color w:val="auto"/>
                <w:sz w:val="20"/>
                <w:szCs w:val="20"/>
                <w:shd w:val="clear" w:color="auto" w:fill="auto"/>
                <w:lang w:eastAsia="en-US"/>
              </w:rPr>
              <w:t>教</w:t>
            </w:r>
            <w:r>
              <w:rPr>
                <w:rFonts w:hint="eastAsia" w:ascii="仿宋_GB2312" w:hAnsi="仿宋_GB2312" w:eastAsia="仿宋_GB2312" w:cs="仿宋_GB2312"/>
                <w:bCs/>
                <w:color w:val="auto"/>
                <w:sz w:val="20"/>
                <w:szCs w:val="20"/>
                <w:shd w:val="clear" w:color="auto" w:fill="FFFFFF"/>
                <w:lang w:eastAsia="en-US"/>
              </w:rPr>
              <w:t>融合联盟，建设一批区域综合性高水平</w:t>
            </w:r>
            <w:r>
              <w:rPr>
                <w:rFonts w:hint="eastAsia" w:ascii="仿宋_GB2312" w:hAnsi="仿宋_GB2312" w:eastAsia="仿宋_GB2312" w:cs="仿宋_GB2312"/>
                <w:bCs/>
                <w:color w:val="auto"/>
                <w:sz w:val="20"/>
                <w:szCs w:val="20"/>
                <w:shd w:val="clear" w:color="auto" w:fill="auto"/>
                <w:lang w:eastAsia="en-US"/>
              </w:rPr>
              <w:t>产教</w:t>
            </w:r>
            <w:r>
              <w:rPr>
                <w:rFonts w:hint="eastAsia" w:ascii="仿宋_GB2312" w:hAnsi="仿宋_GB2312" w:eastAsia="仿宋_GB2312" w:cs="仿宋_GB2312"/>
                <w:bCs/>
                <w:color w:val="auto"/>
                <w:sz w:val="20"/>
                <w:szCs w:val="20"/>
                <w:shd w:val="clear" w:color="auto" w:fill="FFFFFF"/>
                <w:lang w:eastAsia="en-US"/>
              </w:rPr>
              <w:t>融合实训基地。</w:t>
            </w:r>
          </w:p>
        </w:tc>
        <w:tc>
          <w:tcPr>
            <w:tcW w:w="1664" w:type="dxa"/>
            <w:vMerge w:val="continue"/>
            <w:noWrap w:val="0"/>
            <w:vAlign w:val="center"/>
          </w:tcPr>
          <w:p>
            <w:pPr>
              <w:jc w:val="cente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jc w:val="center"/>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④</w:t>
            </w:r>
            <w:r>
              <w:rPr>
                <w:rFonts w:hint="eastAsia" w:ascii="仿宋_GB2312" w:hAnsi="仿宋_GB2312" w:eastAsia="仿宋_GB2312" w:cs="仿宋_GB2312"/>
                <w:bCs/>
                <w:color w:val="auto"/>
                <w:sz w:val="20"/>
                <w:szCs w:val="20"/>
                <w:shd w:val="clear" w:color="auto" w:fill="FFFFFF"/>
                <w:lang w:eastAsia="en-US"/>
              </w:rPr>
              <w:t>全市技师学院达到1所、高级技工学校达到3所、优质技工学校达到4所。</w:t>
            </w:r>
          </w:p>
        </w:tc>
        <w:tc>
          <w:tcPr>
            <w:tcW w:w="1664" w:type="dxa"/>
            <w:vMerge w:val="continue"/>
            <w:noWrap w:val="0"/>
            <w:vAlign w:val="center"/>
          </w:tcPr>
          <w:p>
            <w:pPr>
              <w:jc w:val="cente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trPr>
        <w:tc>
          <w:tcPr>
            <w:tcW w:w="675" w:type="dxa"/>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8</w:t>
            </w:r>
          </w:p>
        </w:tc>
        <w:tc>
          <w:tcPr>
            <w:tcW w:w="2835" w:type="dxa"/>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bCs/>
                <w:color w:val="auto"/>
                <w:sz w:val="20"/>
                <w:szCs w:val="20"/>
                <w:shd w:val="clear" w:color="auto" w:fill="FFFFFF"/>
                <w:lang w:eastAsia="en-US"/>
              </w:rPr>
              <w:t>继续教育质量提升工程</w:t>
            </w: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建设5个示范性继续教育基地，推广一批优质继续教育网络课程，建设一批社区教育示范基地、社区教育创新区，遴选一批终身学习品牌项目和终身学习之星。</w:t>
            </w:r>
          </w:p>
        </w:tc>
        <w:tc>
          <w:tcPr>
            <w:tcW w:w="1664" w:type="dxa"/>
            <w:noWrap w:val="0"/>
            <w:vAlign w:val="center"/>
          </w:tcPr>
          <w:p>
            <w:pPr>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2021—2025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trPr>
        <w:tc>
          <w:tcPr>
            <w:tcW w:w="675" w:type="dxa"/>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9</w:t>
            </w:r>
          </w:p>
        </w:tc>
        <w:tc>
          <w:tcPr>
            <w:tcW w:w="2835" w:type="dxa"/>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民办学校品牌建设专项工程</w:t>
            </w: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遴选建设总量占比不低于10%的民办品牌幼儿园、民办中小学品牌特色课程、民办普通高中特色示范校和民办品牌学科、专业、课程，形成一批高水平特色民办学校。</w:t>
            </w:r>
          </w:p>
        </w:tc>
        <w:tc>
          <w:tcPr>
            <w:tcW w:w="1664" w:type="dxa"/>
            <w:noWrap w:val="0"/>
            <w:vAlign w:val="center"/>
          </w:tcPr>
          <w:p>
            <w:pPr>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2021—2025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exact"/>
        </w:trPr>
        <w:tc>
          <w:tcPr>
            <w:tcW w:w="67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10</w:t>
            </w:r>
          </w:p>
        </w:tc>
        <w:tc>
          <w:tcPr>
            <w:tcW w:w="2835" w:type="dxa"/>
            <w:vMerge w:val="restart"/>
            <w:noWrap w:val="0"/>
            <w:vAlign w:val="center"/>
          </w:tcPr>
          <w:p>
            <w:pPr>
              <w:spacing w:line="280" w:lineRule="exact"/>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新</w:t>
            </w:r>
            <w:r>
              <w:rPr>
                <w:rFonts w:hint="eastAsia" w:ascii="仿宋_GB2312" w:hAnsi="仿宋_GB2312" w:eastAsia="仿宋_GB2312" w:cs="仿宋_GB2312"/>
                <w:color w:val="auto"/>
                <w:sz w:val="20"/>
                <w:szCs w:val="20"/>
                <w:shd w:val="clear" w:color="auto" w:fill="auto"/>
                <w:lang w:eastAsia="en-US"/>
              </w:rPr>
              <w:t>强</w:t>
            </w:r>
            <w:r>
              <w:rPr>
                <w:rFonts w:hint="eastAsia" w:ascii="仿宋_GB2312" w:hAnsi="仿宋_GB2312" w:eastAsia="仿宋_GB2312" w:cs="仿宋_GB2312"/>
                <w:color w:val="auto"/>
                <w:sz w:val="20"/>
                <w:szCs w:val="20"/>
                <w:lang w:eastAsia="en-US"/>
              </w:rPr>
              <w:t>师工程</w:t>
            </w: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①建设新时代教师发展体系。全面提升教师队伍素质，到2025年，幼儿园</w:t>
            </w:r>
            <w:r>
              <w:rPr>
                <w:rFonts w:hint="eastAsia" w:ascii="仿宋_GB2312" w:hAnsi="仿宋_GB2312" w:eastAsia="仿宋_GB2312" w:cs="仿宋_GB2312"/>
                <w:color w:val="auto"/>
                <w:sz w:val="20"/>
                <w:szCs w:val="20"/>
                <w:lang w:eastAsia="zh-CN"/>
              </w:rPr>
              <w:t>专任教师</w:t>
            </w:r>
            <w:r>
              <w:rPr>
                <w:rFonts w:hint="eastAsia" w:ascii="仿宋_GB2312" w:hAnsi="仿宋_GB2312" w:eastAsia="仿宋_GB2312" w:cs="仿宋_GB2312"/>
                <w:color w:val="auto"/>
                <w:sz w:val="20"/>
                <w:szCs w:val="20"/>
                <w:lang w:eastAsia="en-US"/>
              </w:rPr>
              <w:t>专科以上学历比例达到93%，小学、初中</w:t>
            </w:r>
            <w:r>
              <w:rPr>
                <w:rFonts w:hint="eastAsia" w:ascii="仿宋_GB2312" w:hAnsi="仿宋_GB2312" w:eastAsia="仿宋_GB2312" w:cs="仿宋_GB2312"/>
                <w:color w:val="auto"/>
                <w:sz w:val="20"/>
                <w:szCs w:val="20"/>
                <w:lang w:eastAsia="zh-CN"/>
              </w:rPr>
              <w:t>专任教师</w:t>
            </w:r>
            <w:r>
              <w:rPr>
                <w:rFonts w:hint="eastAsia" w:ascii="仿宋_GB2312" w:hAnsi="仿宋_GB2312" w:eastAsia="仿宋_GB2312" w:cs="仿宋_GB2312"/>
                <w:color w:val="auto"/>
                <w:sz w:val="20"/>
                <w:szCs w:val="20"/>
                <w:lang w:eastAsia="en-US"/>
              </w:rPr>
              <w:t>本科以上学历比例分别达到73.11%、95.89%，高中阶段学校</w:t>
            </w:r>
            <w:r>
              <w:rPr>
                <w:rFonts w:hint="eastAsia" w:ascii="仿宋_GB2312" w:hAnsi="仿宋_GB2312" w:eastAsia="仿宋_GB2312" w:cs="仿宋_GB2312"/>
                <w:color w:val="auto"/>
                <w:sz w:val="20"/>
                <w:szCs w:val="20"/>
                <w:lang w:eastAsia="zh-CN"/>
              </w:rPr>
              <w:t>专任教师</w:t>
            </w:r>
            <w:r>
              <w:rPr>
                <w:rFonts w:hint="eastAsia" w:ascii="仿宋_GB2312" w:hAnsi="仿宋_GB2312" w:eastAsia="仿宋_GB2312" w:cs="仿宋_GB2312"/>
                <w:color w:val="auto"/>
                <w:sz w:val="20"/>
                <w:szCs w:val="20"/>
                <w:lang w:eastAsia="en-US"/>
              </w:rPr>
              <w:t>研究生学历比例达到15%，“双师型”教师占专业课教师比例达到65%以上。</w:t>
            </w:r>
          </w:p>
        </w:tc>
        <w:tc>
          <w:tcPr>
            <w:tcW w:w="1664" w:type="dxa"/>
            <w:vMerge w:val="restart"/>
            <w:noWrap w:val="0"/>
            <w:vAlign w:val="center"/>
          </w:tcPr>
          <w:p>
            <w:pPr>
              <w:jc w:val="center"/>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2021—2025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675" w:type="dxa"/>
            <w:vMerge w:val="continue"/>
            <w:noWrap w:val="0"/>
            <w:vAlign w:val="center"/>
          </w:tcPr>
          <w:p>
            <w:pPr>
              <w:spacing w:line="280" w:lineRule="exact"/>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②完善教师专业发展支持体系。加强高层次教育人才队伍建设，全市每年培养不少于50名卓越教师，每个</w:t>
            </w:r>
            <w:r>
              <w:rPr>
                <w:rFonts w:hint="eastAsia" w:ascii="仿宋_GB2312" w:hAnsi="仿宋_GB2312" w:eastAsia="仿宋_GB2312" w:cs="仿宋_GB2312"/>
                <w:color w:val="auto"/>
                <w:sz w:val="20"/>
                <w:szCs w:val="20"/>
                <w:lang w:eastAsia="zh-CN"/>
              </w:rPr>
              <w:t>区、县级市</w:t>
            </w:r>
            <w:r>
              <w:rPr>
                <w:rFonts w:hint="eastAsia" w:ascii="仿宋_GB2312" w:hAnsi="仿宋_GB2312" w:eastAsia="仿宋_GB2312" w:cs="仿宋_GB2312"/>
                <w:color w:val="auto"/>
                <w:sz w:val="20"/>
                <w:szCs w:val="20"/>
                <w:lang w:eastAsia="en-US"/>
              </w:rPr>
              <w:t>每年培养不少于100名骨干教师。全市每年培养50名名校长、名班主任、名教师，建立工作室。</w:t>
            </w:r>
          </w:p>
        </w:tc>
        <w:tc>
          <w:tcPr>
            <w:tcW w:w="1664" w:type="dxa"/>
            <w:vMerge w:val="continue"/>
            <w:noWrap w:val="0"/>
            <w:vAlign w:val="top"/>
          </w:tcPr>
          <w:p>
            <w:pPr>
              <w:rPr>
                <w:rFonts w:hint="eastAsia" w:ascii="仿宋_GB2312" w:hAnsi="仿宋_GB2312" w:eastAsia="仿宋_GB2312" w:cs="仿宋_GB2312"/>
                <w:color w:val="auto"/>
                <w:sz w:val="20"/>
                <w:szCs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3" w:hRule="exact"/>
        </w:trPr>
        <w:tc>
          <w:tcPr>
            <w:tcW w:w="675" w:type="dxa"/>
            <w:vMerge w:val="continue"/>
            <w:noWrap w:val="0"/>
            <w:vAlign w:val="center"/>
          </w:tcPr>
          <w:p>
            <w:pPr>
              <w:spacing w:line="280" w:lineRule="exact"/>
              <w:rPr>
                <w:rFonts w:hint="eastAsia" w:ascii="仿宋_GB2312" w:hAnsi="仿宋_GB2312" w:eastAsia="仿宋_GB2312" w:cs="仿宋_GB2312"/>
                <w:color w:val="auto"/>
                <w:sz w:val="20"/>
                <w:szCs w:val="20"/>
                <w:lang w:eastAsia="en-US"/>
              </w:rPr>
            </w:pPr>
          </w:p>
        </w:tc>
        <w:tc>
          <w:tcPr>
            <w:tcW w:w="2835" w:type="dxa"/>
            <w:vMerge w:val="continue"/>
            <w:noWrap w:val="0"/>
            <w:vAlign w:val="center"/>
          </w:tcPr>
          <w:p>
            <w:pPr>
              <w:spacing w:line="280" w:lineRule="exact"/>
              <w:rPr>
                <w:rFonts w:hint="eastAsia" w:ascii="仿宋_GB2312" w:hAnsi="仿宋_GB2312" w:eastAsia="仿宋_GB2312" w:cs="仿宋_GB2312"/>
                <w:color w:val="auto"/>
                <w:sz w:val="20"/>
                <w:szCs w:val="20"/>
                <w:lang w:eastAsia="en-US"/>
              </w:rPr>
            </w:pPr>
          </w:p>
        </w:tc>
        <w:tc>
          <w:tcPr>
            <w:tcW w:w="7797" w:type="dxa"/>
            <w:noWrap w:val="0"/>
            <w:vAlign w:val="center"/>
          </w:tcPr>
          <w:p>
            <w:pPr>
              <w:spacing w:line="280" w:lineRule="exact"/>
              <w:ind w:firstLine="400" w:firstLineChars="200"/>
              <w:rPr>
                <w:rFonts w:hint="eastAsia" w:ascii="仿宋_GB2312" w:hAnsi="仿宋_GB2312" w:eastAsia="仿宋_GB2312" w:cs="仿宋_GB2312"/>
                <w:color w:val="auto"/>
                <w:sz w:val="20"/>
                <w:szCs w:val="20"/>
                <w:lang w:eastAsia="en-US"/>
              </w:rPr>
            </w:pPr>
            <w:r>
              <w:rPr>
                <w:rFonts w:hint="eastAsia" w:ascii="仿宋_GB2312" w:hAnsi="仿宋_GB2312" w:eastAsia="仿宋_GB2312" w:cs="仿宋_GB2312"/>
                <w:color w:val="auto"/>
                <w:sz w:val="20"/>
                <w:szCs w:val="20"/>
                <w:lang w:eastAsia="en-US"/>
              </w:rPr>
              <w:t>③推进新时代基础教育教研体系建设。健全市县</w:t>
            </w:r>
            <w:r>
              <w:rPr>
                <w:rFonts w:hint="eastAsia" w:ascii="仿宋_GB2312" w:hAnsi="仿宋_GB2312" w:eastAsia="仿宋_GB2312" w:cs="仿宋_GB2312"/>
                <w:color w:val="auto"/>
                <w:sz w:val="20"/>
                <w:szCs w:val="20"/>
                <w:shd w:val="clear" w:color="auto" w:fill="auto"/>
                <w:lang w:eastAsia="en-US"/>
              </w:rPr>
              <w:t>校</w:t>
            </w:r>
            <w:r>
              <w:rPr>
                <w:rFonts w:hint="eastAsia" w:ascii="仿宋_GB2312" w:hAnsi="仿宋_GB2312" w:eastAsia="仿宋_GB2312" w:cs="仿宋_GB2312"/>
                <w:color w:val="auto"/>
                <w:sz w:val="20"/>
                <w:szCs w:val="20"/>
                <w:lang w:eastAsia="en-US"/>
              </w:rPr>
              <w:t>三级教研工作体系，各级教师发展机构按照国家课程方案配齐各学段各学科专职教研员。健全教研员全员培训和3年一周期教研能力提升研修制度。每年面向全市教研员和教师开展15场次线上或线上线下相结合的学科教研活动或主题教研活动。到2025年，建设100个左右市级学科教研基地、</w:t>
            </w:r>
            <w:r>
              <w:rPr>
                <w:rFonts w:hint="eastAsia" w:ascii="仿宋_GB2312" w:hAnsi="仿宋_GB2312" w:eastAsia="仿宋_GB2312" w:cs="仿宋_GB2312"/>
                <w:color w:val="auto"/>
                <w:sz w:val="20"/>
                <w:szCs w:val="20"/>
                <w:lang w:eastAsia="zh-CN"/>
              </w:rPr>
              <w:t>区（县级市）</w:t>
            </w:r>
            <w:r>
              <w:rPr>
                <w:rFonts w:hint="eastAsia" w:ascii="仿宋_GB2312" w:hAnsi="仿宋_GB2312" w:eastAsia="仿宋_GB2312" w:cs="仿宋_GB2312"/>
                <w:color w:val="auto"/>
                <w:sz w:val="20"/>
                <w:szCs w:val="20"/>
                <w:lang w:eastAsia="en-US"/>
              </w:rPr>
              <w:t>教研基地和</w:t>
            </w:r>
            <w:r>
              <w:rPr>
                <w:rFonts w:hint="eastAsia" w:ascii="仿宋_GB2312" w:hAnsi="仿宋_GB2312" w:eastAsia="仿宋_GB2312" w:cs="仿宋_GB2312"/>
                <w:color w:val="auto"/>
                <w:sz w:val="20"/>
                <w:szCs w:val="20"/>
                <w:shd w:val="clear" w:color="auto" w:fill="auto"/>
                <w:lang w:eastAsia="en-US"/>
              </w:rPr>
              <w:t>校</w:t>
            </w:r>
            <w:r>
              <w:rPr>
                <w:rFonts w:hint="eastAsia" w:ascii="仿宋_GB2312" w:hAnsi="仿宋_GB2312" w:eastAsia="仿宋_GB2312" w:cs="仿宋_GB2312"/>
                <w:color w:val="auto"/>
                <w:sz w:val="20"/>
                <w:szCs w:val="20"/>
                <w:lang w:eastAsia="en-US"/>
              </w:rPr>
              <w:t>（园）本教研基地。</w:t>
            </w:r>
          </w:p>
        </w:tc>
        <w:tc>
          <w:tcPr>
            <w:tcW w:w="1664" w:type="dxa"/>
            <w:vMerge w:val="continue"/>
            <w:noWrap w:val="0"/>
            <w:vAlign w:val="top"/>
          </w:tcPr>
          <w:p>
            <w:pPr>
              <w:rPr>
                <w:rFonts w:hint="eastAsia" w:ascii="仿宋_GB2312" w:hAnsi="仿宋_GB2312" w:eastAsia="仿宋_GB2312" w:cs="仿宋_GB2312"/>
                <w:color w:val="auto"/>
                <w:sz w:val="20"/>
                <w:szCs w:val="20"/>
                <w:lang w:eastAsia="en-US"/>
              </w:rPr>
            </w:pPr>
          </w:p>
        </w:tc>
      </w:tr>
    </w:tbl>
    <w:p>
      <w:pPr>
        <w:pStyle w:val="5"/>
        <w:spacing w:after="0" w:afterLines="0" w:line="560" w:lineRule="exact"/>
        <w:rPr>
          <w:rFonts w:hint="eastAsia" w:ascii="仿宋_GB2312" w:hAnsi="仿宋_GB2312" w:eastAsia="仿宋_GB2312" w:cs="仿宋_GB2312"/>
          <w:bCs/>
          <w:color w:val="auto"/>
          <w:sz w:val="32"/>
          <w:szCs w:val="32"/>
          <w:shd w:val="clear" w:color="auto" w:fill="FFFFFF"/>
          <w:lang w:eastAsia="zh-CN"/>
        </w:rPr>
        <w:sectPr>
          <w:pgSz w:w="16838" w:h="11906" w:orient="landscape"/>
          <w:pgMar w:top="1474" w:right="1985" w:bottom="1588" w:left="2098" w:header="851" w:footer="992" w:gutter="0"/>
          <w:pgBorders>
            <w:top w:val="none" w:sz="0" w:space="0"/>
            <w:left w:val="none" w:sz="0" w:space="0"/>
            <w:bottom w:val="none" w:sz="0" w:space="0"/>
            <w:right w:val="none" w:sz="0" w:space="0"/>
          </w:pgBorders>
          <w:pgNumType w:fmt="numberInDash"/>
          <w:cols w:space="720" w:num="1"/>
          <w:titlePg/>
          <w:docGrid w:type="linesAndChars" w:linePitch="579" w:charSpace="0"/>
        </w:sectPr>
      </w:pPr>
    </w:p>
    <w:p>
      <w:pPr>
        <w:pStyle w:val="5"/>
        <w:shd w:val="clear" w:color="auto" w:fill="auto"/>
        <w:spacing w:after="0" w:afterLines="0" w:line="560" w:lineRule="exact"/>
        <w:rPr>
          <w:rFonts w:hint="eastAsia" w:ascii="黑体" w:hAnsi="黑体" w:eastAsia="黑体" w:cs="黑体"/>
          <w:bCs/>
          <w:color w:val="auto"/>
          <w:sz w:val="32"/>
          <w:szCs w:val="32"/>
          <w:highlight w:val="none"/>
          <w:shd w:val="clear" w:color="auto" w:fill="FFFFFF"/>
          <w:lang w:eastAsia="zh-CN"/>
        </w:rPr>
      </w:pPr>
      <w:r>
        <w:rPr>
          <w:rFonts w:hint="eastAsia" w:ascii="黑体" w:hAnsi="黑体" w:eastAsia="黑体" w:cs="黑体"/>
          <w:bCs/>
          <w:color w:val="auto"/>
          <w:sz w:val="32"/>
          <w:szCs w:val="32"/>
          <w:highlight w:val="none"/>
          <w:shd w:val="clear" w:color="auto" w:fill="FFFFFF"/>
          <w:lang w:eastAsia="zh-CN"/>
        </w:rPr>
        <w:t>附件2</w:t>
      </w:r>
    </w:p>
    <w:p>
      <w:pPr>
        <w:pStyle w:val="5"/>
        <w:shd w:val="clear" w:color="auto" w:fill="auto"/>
        <w:adjustRightInd w:val="0"/>
        <w:snapToGrid w:val="0"/>
        <w:spacing w:after="0" w:afterLines="0" w:line="660" w:lineRule="exact"/>
        <w:jc w:val="center"/>
        <w:outlineLvl w:val="0"/>
        <w:rPr>
          <w:rFonts w:hint="eastAsia" w:ascii="方正小标宋简体" w:hAnsi="方正小标宋简体" w:eastAsia="方正小标宋简体" w:cs="方正小标宋简体"/>
          <w:color w:val="auto"/>
          <w:sz w:val="44"/>
          <w:szCs w:val="44"/>
          <w:highlight w:val="none"/>
          <w:lang w:eastAsia="zh-CN"/>
        </w:rPr>
      </w:pPr>
      <w:bookmarkStart w:id="104" w:name="_Toc855879986_WPSOffice_Level1"/>
      <w:bookmarkStart w:id="105" w:name="_Toc98694822"/>
      <w:r>
        <w:rPr>
          <w:rFonts w:hint="eastAsia" w:ascii="方正小标宋简体" w:hAnsi="方正小标宋简体" w:eastAsia="方正小标宋简体" w:cs="方正小标宋简体"/>
          <w:color w:val="auto"/>
          <w:sz w:val="44"/>
          <w:szCs w:val="44"/>
          <w:highlight w:val="none"/>
          <w:lang w:eastAsia="zh-CN"/>
        </w:rPr>
        <w:t>茂名市教育发展“十四五”</w:t>
      </w:r>
    </w:p>
    <w:p>
      <w:pPr>
        <w:pStyle w:val="5"/>
        <w:spacing w:after="0" w:afterLines="0"/>
        <w:jc w:val="center"/>
        <w:rPr>
          <w:rFonts w:hint="eastAsia" w:ascii="方正小标宋简体" w:hAnsi="方正小标宋简体" w:eastAsia="微软雅黑" w:cs="方正小标宋简体"/>
          <w:i w:val="0"/>
          <w:color w:val="auto"/>
          <w:kern w:val="0"/>
          <w:sz w:val="44"/>
          <w:szCs w:val="44"/>
          <w:highlight w:val="none"/>
          <w:u w:val="none"/>
          <w:lang w:val="en-US" w:eastAsia="zh-CN" w:bidi="ar"/>
        </w:rPr>
      </w:pPr>
      <w:r>
        <w:rPr>
          <w:rFonts w:hint="eastAsia" w:ascii="方正小标宋简体" w:hAnsi="方正小标宋简体" w:eastAsia="方正小标宋简体" w:cs="方正小标宋简体"/>
          <w:color w:val="auto"/>
          <w:sz w:val="44"/>
          <w:szCs w:val="44"/>
          <w:highlight w:val="none"/>
          <w:lang w:eastAsia="zh-CN"/>
        </w:rPr>
        <w:t>规划建设项目</w:t>
      </w:r>
      <w:bookmarkEnd w:id="104"/>
      <w:bookmarkStart w:id="106" w:name="_Toc763790997_WPSOffice_Level1"/>
      <w:r>
        <w:rPr>
          <w:rFonts w:hint="eastAsia" w:ascii="方正小标宋简体" w:hAnsi="方正小标宋简体" w:eastAsia="方正小标宋简体" w:cs="方正小标宋简体"/>
          <w:color w:val="auto"/>
          <w:sz w:val="44"/>
          <w:szCs w:val="44"/>
          <w:highlight w:val="none"/>
          <w:lang w:eastAsia="zh-CN"/>
        </w:rPr>
        <w:t>汇总</w:t>
      </w:r>
      <w:bookmarkEnd w:id="105"/>
      <w:bookmarkEnd w:id="106"/>
      <w:r>
        <w:rPr>
          <w:rFonts w:hint="eastAsia" w:ascii="方正小标宋简体" w:hAnsi="方正小标宋简体" w:eastAsia="方正小标宋简体" w:cs="方正小标宋简体"/>
          <w:color w:val="auto"/>
          <w:sz w:val="44"/>
          <w:szCs w:val="44"/>
          <w:highlight w:val="none"/>
          <w:lang w:eastAsia="zh-CN"/>
        </w:rPr>
        <w:t>表</w:t>
      </w:r>
      <w:r>
        <w:rPr>
          <w:rFonts w:hint="eastAsia" w:ascii="方正小标宋简体" w:hAnsi="方正小标宋简体" w:eastAsia="方正小标宋简体" w:cs="方正小标宋简体"/>
          <w:color w:val="auto"/>
          <w:sz w:val="36"/>
          <w:szCs w:val="36"/>
          <w:highlight w:val="none"/>
          <w:shd w:val="clear" w:color="auto" w:fill="auto"/>
          <w:vertAlign w:val="superscript"/>
          <w:lang w:eastAsia="zh-CN"/>
        </w:rPr>
        <w:t>注</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2"/>
        <w:gridCol w:w="1105"/>
        <w:gridCol w:w="210"/>
        <w:gridCol w:w="1872"/>
        <w:gridCol w:w="449"/>
        <w:gridCol w:w="7"/>
        <w:gridCol w:w="784"/>
        <w:gridCol w:w="2"/>
        <w:gridCol w:w="2"/>
        <w:gridCol w:w="242"/>
        <w:gridCol w:w="8"/>
        <w:gridCol w:w="1199"/>
        <w:gridCol w:w="42"/>
        <w:gridCol w:w="14"/>
        <w:gridCol w:w="1550"/>
        <w:gridCol w:w="42"/>
        <w:gridCol w:w="12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9287" w:type="dxa"/>
            <w:gridSpan w:val="1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ascii="方正小标宋简体" w:hAnsi="方正小标宋简体" w:eastAsia="方正小标宋简体" w:cs="方正小标宋简体"/>
                <w:i w:val="0"/>
                <w:color w:val="auto"/>
                <w:sz w:val="28"/>
                <w:szCs w:val="28"/>
                <w:highlight w:val="none"/>
                <w:u w:val="none"/>
              </w:rPr>
            </w:pPr>
            <w:r>
              <w:rPr>
                <w:rFonts w:hint="eastAsia" w:ascii="仿宋_GB2312" w:hAnsi="仿宋_GB2312" w:eastAsia="仿宋_GB2312" w:cs="仿宋_GB2312"/>
                <w:b/>
                <w:bCs/>
                <w:i w:val="0"/>
                <w:color w:val="auto"/>
                <w:kern w:val="0"/>
                <w:sz w:val="28"/>
                <w:szCs w:val="28"/>
                <w:highlight w:val="none"/>
                <w:u w:val="none"/>
                <w:lang w:val="en-US" w:eastAsia="zh-CN" w:bidi="ar"/>
              </w:rPr>
              <w:t>学前教育项目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序号</w:t>
            </w:r>
          </w:p>
        </w:tc>
        <w:tc>
          <w:tcPr>
            <w:tcW w:w="110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所在地</w:t>
            </w:r>
          </w:p>
        </w:tc>
        <w:tc>
          <w:tcPr>
            <w:tcW w:w="2082"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kern w:val="0"/>
                <w:sz w:val="20"/>
                <w:szCs w:val="20"/>
                <w:highlight w:val="none"/>
                <w:u w:val="none"/>
                <w:lang w:val="en-US" w:eastAsia="zh-CN" w:bidi="ar"/>
              </w:rPr>
            </w:pPr>
            <w:r>
              <w:rPr>
                <w:rFonts w:hint="eastAsia" w:ascii="仿宋_GB2312" w:hAnsi="仿宋_GB2312" w:eastAsia="仿宋_GB2312" w:cs="仿宋_GB2312"/>
                <w:b/>
                <w:i w:val="0"/>
                <w:color w:val="auto"/>
                <w:kern w:val="0"/>
                <w:sz w:val="20"/>
                <w:szCs w:val="20"/>
                <w:highlight w:val="none"/>
                <w:u w:val="none"/>
                <w:lang w:val="en-US" w:eastAsia="zh-CN" w:bidi="ar"/>
              </w:rPr>
              <w:t>幼儿园</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计划名称</w:t>
            </w:r>
          </w:p>
        </w:tc>
        <w:tc>
          <w:tcPr>
            <w:tcW w:w="1240"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kern w:val="0"/>
                <w:sz w:val="20"/>
                <w:szCs w:val="20"/>
                <w:highlight w:val="none"/>
                <w:u w:val="none"/>
                <w:lang w:val="en-US" w:eastAsia="zh-CN" w:bidi="ar"/>
              </w:rPr>
            </w:pPr>
            <w:r>
              <w:rPr>
                <w:rFonts w:hint="eastAsia" w:ascii="仿宋_GB2312" w:hAnsi="仿宋_GB2312" w:eastAsia="仿宋_GB2312" w:cs="仿宋_GB2312"/>
                <w:b/>
                <w:i w:val="0"/>
                <w:color w:val="auto"/>
                <w:kern w:val="0"/>
                <w:sz w:val="20"/>
                <w:szCs w:val="20"/>
                <w:highlight w:val="none"/>
                <w:u w:val="none"/>
                <w:lang w:val="en-US" w:eastAsia="zh-CN" w:bidi="ar"/>
              </w:rPr>
              <w:t>规划办学</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规模（班）</w:t>
            </w:r>
          </w:p>
        </w:tc>
        <w:tc>
          <w:tcPr>
            <w:tcW w:w="1453" w:type="dxa"/>
            <w:gridSpan w:val="5"/>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kern w:val="0"/>
                <w:sz w:val="20"/>
                <w:szCs w:val="20"/>
                <w:highlight w:val="none"/>
                <w:u w:val="none"/>
                <w:lang w:val="en-US" w:eastAsia="zh-CN" w:bidi="ar"/>
              </w:rPr>
            </w:pPr>
            <w:r>
              <w:rPr>
                <w:rFonts w:hint="eastAsia" w:ascii="仿宋_GB2312" w:hAnsi="仿宋_GB2312" w:eastAsia="仿宋_GB2312" w:cs="仿宋_GB2312"/>
                <w:b/>
                <w:i w:val="0"/>
                <w:color w:val="auto"/>
                <w:kern w:val="0"/>
                <w:sz w:val="20"/>
                <w:szCs w:val="20"/>
                <w:highlight w:val="none"/>
                <w:u w:val="none"/>
                <w:lang w:val="en-US" w:eastAsia="zh-CN" w:bidi="ar"/>
              </w:rPr>
              <w:t>计划招生</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办学时间</w:t>
            </w:r>
          </w:p>
        </w:tc>
        <w:tc>
          <w:tcPr>
            <w:tcW w:w="1606"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kern w:val="0"/>
                <w:sz w:val="20"/>
                <w:szCs w:val="20"/>
                <w:highlight w:val="none"/>
                <w:u w:val="none"/>
                <w:lang w:val="en-US" w:eastAsia="zh-CN" w:bidi="ar"/>
              </w:rPr>
            </w:pPr>
            <w:r>
              <w:rPr>
                <w:rFonts w:hint="eastAsia" w:ascii="仿宋_GB2312" w:hAnsi="仿宋_GB2312" w:eastAsia="仿宋_GB2312" w:cs="仿宋_GB2312"/>
                <w:b/>
                <w:i w:val="0"/>
                <w:color w:val="auto"/>
                <w:kern w:val="0"/>
                <w:sz w:val="20"/>
                <w:szCs w:val="20"/>
                <w:highlight w:val="none"/>
                <w:u w:val="none"/>
                <w:lang w:val="en-US" w:eastAsia="zh-CN" w:bidi="ar"/>
              </w:rPr>
              <w:t>是否计划办成</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公办幼儿园</w:t>
            </w:r>
          </w:p>
        </w:tc>
        <w:tc>
          <w:tcPr>
            <w:tcW w:w="1289"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kern w:val="0"/>
                <w:sz w:val="20"/>
                <w:szCs w:val="20"/>
                <w:highlight w:val="none"/>
                <w:u w:val="none"/>
                <w:lang w:val="en-US" w:eastAsia="zh-CN" w:bidi="ar"/>
              </w:rPr>
            </w:pPr>
            <w:r>
              <w:rPr>
                <w:rFonts w:hint="eastAsia" w:ascii="仿宋_GB2312" w:hAnsi="仿宋_GB2312" w:eastAsia="仿宋_GB2312" w:cs="仿宋_GB2312"/>
                <w:b/>
                <w:i w:val="0"/>
                <w:color w:val="auto"/>
                <w:kern w:val="0"/>
                <w:sz w:val="20"/>
                <w:szCs w:val="20"/>
                <w:highlight w:val="none"/>
                <w:u w:val="none"/>
                <w:shd w:val="clear" w:color="auto" w:fill="auto"/>
                <w:lang w:val="en-US" w:eastAsia="zh-CN" w:bidi="ar"/>
              </w:rPr>
              <w:t>拟</w:t>
            </w:r>
            <w:r>
              <w:rPr>
                <w:rFonts w:hint="eastAsia" w:ascii="仿宋_GB2312" w:hAnsi="仿宋_GB2312" w:eastAsia="仿宋_GB2312" w:cs="仿宋_GB2312"/>
                <w:b/>
                <w:i w:val="0"/>
                <w:color w:val="auto"/>
                <w:kern w:val="0"/>
                <w:sz w:val="20"/>
                <w:szCs w:val="20"/>
                <w:highlight w:val="none"/>
                <w:u w:val="none"/>
                <w:lang w:val="en-US" w:eastAsia="zh-CN" w:bidi="ar"/>
              </w:rPr>
              <w:t>总投入</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市直属</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茂名市第三幼儿园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36</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14778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大名府幼儿园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9</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恒</w:t>
            </w:r>
            <w:r>
              <w:rPr>
                <w:rFonts w:hint="eastAsia" w:ascii="仿宋_GB2312" w:hAnsi="仿宋_GB2312" w:eastAsia="仿宋_GB2312" w:cs="仿宋_GB2312"/>
                <w:i w:val="0"/>
                <w:color w:val="auto"/>
                <w:kern w:val="0"/>
                <w:sz w:val="20"/>
                <w:szCs w:val="20"/>
                <w:highlight w:val="none"/>
                <w:u w:val="none"/>
                <w:lang w:val="en-US" w:eastAsia="zh-CN" w:bidi="ar"/>
              </w:rPr>
              <w:t>福里幼儿园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12</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4500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珑悦府</w:t>
            </w:r>
            <w:r>
              <w:rPr>
                <w:rFonts w:hint="eastAsia" w:ascii="仿宋_GB2312" w:hAnsi="仿宋_GB2312" w:eastAsia="仿宋_GB2312" w:cs="仿宋_GB2312"/>
                <w:i w:val="0"/>
                <w:color w:val="auto"/>
                <w:kern w:val="0"/>
                <w:sz w:val="20"/>
                <w:szCs w:val="20"/>
                <w:highlight w:val="none"/>
                <w:u w:val="none"/>
                <w:lang w:val="en-US" w:eastAsia="zh-CN" w:bidi="ar"/>
              </w:rPr>
              <w:t>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9</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5</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学府幼儿园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9</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2024年9月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钧</w:t>
            </w:r>
            <w:r>
              <w:rPr>
                <w:rFonts w:hint="eastAsia" w:ascii="仿宋_GB2312" w:hAnsi="仿宋_GB2312" w:eastAsia="仿宋_GB2312" w:cs="仿宋_GB2312"/>
                <w:i w:val="0"/>
                <w:color w:val="auto"/>
                <w:kern w:val="0"/>
                <w:sz w:val="20"/>
                <w:szCs w:val="20"/>
                <w:highlight w:val="none"/>
                <w:u w:val="none"/>
                <w:lang w:val="en-US" w:eastAsia="zh-CN" w:bidi="ar"/>
              </w:rPr>
              <w:t>明城幼儿园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15</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2025年9月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7</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茂名市南海岛华侨城幼儿园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9</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8</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博贺镇龙山中心</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Style w:val="16"/>
                <w:rFonts w:hint="eastAsia" w:ascii="仿宋_GB2312" w:hAnsi="仿宋_GB2312" w:eastAsia="仿宋_GB2312" w:cs="仿宋_GB2312"/>
                <w:color w:val="auto"/>
                <w:sz w:val="20"/>
                <w:szCs w:val="20"/>
                <w:highlight w:val="none"/>
                <w:lang w:val="en-US" w:eastAsia="zh-CN" w:bidi="ar"/>
              </w:rPr>
              <w:t>2023</w:t>
            </w:r>
            <w:r>
              <w:rPr>
                <w:rStyle w:val="17"/>
                <w:rFonts w:ascii="仿宋_GB2312" w:hAnsi="仿宋_GB2312" w:eastAsia="仿宋_GB2312" w:cs="仿宋_GB2312"/>
                <w:color w:val="auto"/>
                <w:sz w:val="20"/>
                <w:szCs w:val="20"/>
                <w:highlight w:val="none"/>
                <w:lang w:val="en-US" w:eastAsia="zh-CN" w:bidi="ar"/>
              </w:rPr>
              <w:t>年</w:t>
            </w:r>
            <w:r>
              <w:rPr>
                <w:rStyle w:val="16"/>
                <w:rFonts w:hint="eastAsia" w:ascii="仿宋_GB2312" w:hAnsi="仿宋_GB2312" w:eastAsia="仿宋_GB2312" w:cs="仿宋_GB2312"/>
                <w:color w:val="auto"/>
                <w:sz w:val="20"/>
                <w:szCs w:val="20"/>
                <w:highlight w:val="none"/>
                <w:lang w:val="en-US" w:eastAsia="zh-CN" w:bidi="ar"/>
              </w:rPr>
              <w:t>9</w:t>
            </w:r>
            <w:r>
              <w:rPr>
                <w:rStyle w:val="17"/>
                <w:rFonts w:ascii="仿宋_GB2312" w:hAnsi="仿宋_GB2312" w:eastAsia="仿宋_GB2312" w:cs="仿宋_GB2312"/>
                <w:color w:val="auto"/>
                <w:sz w:val="20"/>
                <w:szCs w:val="20"/>
                <w:highlight w:val="none"/>
                <w:lang w:val="en-US" w:eastAsia="zh-CN" w:bidi="ar"/>
              </w:rPr>
              <w:t>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9</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电城镇冼太夫人纪念幼儿园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8</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Style w:val="16"/>
                <w:rFonts w:hint="eastAsia" w:ascii="仿宋_GB2312" w:hAnsi="仿宋_GB2312" w:eastAsia="仿宋_GB2312" w:cs="仿宋_GB2312"/>
                <w:color w:val="auto"/>
                <w:sz w:val="20"/>
                <w:szCs w:val="20"/>
                <w:highlight w:val="none"/>
                <w:lang w:val="en-US" w:eastAsia="zh-CN" w:bidi="ar"/>
              </w:rPr>
              <w:t>2024</w:t>
            </w:r>
            <w:r>
              <w:rPr>
                <w:rStyle w:val="17"/>
                <w:rFonts w:ascii="仿宋_GB2312" w:hAnsi="仿宋_GB2312" w:eastAsia="仿宋_GB2312" w:cs="仿宋_GB2312"/>
                <w:color w:val="auto"/>
                <w:sz w:val="20"/>
                <w:szCs w:val="20"/>
                <w:highlight w:val="none"/>
                <w:lang w:val="en-US" w:eastAsia="zh-CN" w:bidi="ar"/>
              </w:rPr>
              <w:t>年</w:t>
            </w:r>
            <w:r>
              <w:rPr>
                <w:rStyle w:val="16"/>
                <w:rFonts w:hint="eastAsia" w:ascii="仿宋_GB2312" w:hAnsi="仿宋_GB2312" w:eastAsia="仿宋_GB2312" w:cs="仿宋_GB2312"/>
                <w:color w:val="auto"/>
                <w:sz w:val="20"/>
                <w:szCs w:val="20"/>
                <w:highlight w:val="none"/>
                <w:lang w:val="en-US" w:eastAsia="zh-CN" w:bidi="ar"/>
              </w:rPr>
              <w:t>9</w:t>
            </w:r>
            <w:r>
              <w:rPr>
                <w:rStyle w:val="17"/>
                <w:rFonts w:ascii="仿宋_GB2312" w:hAnsi="仿宋_GB2312" w:eastAsia="仿宋_GB2312" w:cs="仿宋_GB2312"/>
                <w:color w:val="auto"/>
                <w:sz w:val="20"/>
                <w:szCs w:val="20"/>
                <w:highlight w:val="none"/>
                <w:lang w:val="en-US" w:eastAsia="zh-CN" w:bidi="ar"/>
              </w:rPr>
              <w:t>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rPr>
            </w:pPr>
            <w:r>
              <w:rPr>
                <w:rFonts w:hint="eastAsia" w:ascii="仿宋_GB2312" w:hAnsi="仿宋_GB2312" w:eastAsia="仿宋_GB2312" w:cs="仿宋_GB2312"/>
                <w:i w:val="0"/>
                <w:color w:val="auto"/>
                <w:kern w:val="0"/>
                <w:sz w:val="20"/>
                <w:szCs w:val="20"/>
                <w:highlight w:val="none"/>
                <w:u w:val="none"/>
                <w:lang w:val="en-US" w:eastAsia="zh-CN" w:bidi="ar"/>
              </w:rPr>
              <w:t>10</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电城镇桥坝幼儿园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10</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Style w:val="16"/>
                <w:rFonts w:hint="eastAsia" w:ascii="仿宋_GB2312" w:hAnsi="仿宋_GB2312" w:eastAsia="仿宋_GB2312" w:cs="仿宋_GB2312"/>
                <w:color w:val="auto"/>
                <w:sz w:val="20"/>
                <w:szCs w:val="20"/>
                <w:highlight w:val="none"/>
                <w:lang w:val="en-US" w:eastAsia="zh-CN" w:bidi="ar"/>
              </w:rPr>
              <w:t>2025</w:t>
            </w:r>
            <w:r>
              <w:rPr>
                <w:rStyle w:val="17"/>
                <w:rFonts w:ascii="仿宋_GB2312" w:hAnsi="仿宋_GB2312" w:eastAsia="仿宋_GB2312" w:cs="仿宋_GB2312"/>
                <w:color w:val="auto"/>
                <w:sz w:val="20"/>
                <w:szCs w:val="20"/>
                <w:highlight w:val="none"/>
                <w:lang w:val="en-US" w:eastAsia="zh-CN" w:bidi="ar"/>
              </w:rPr>
              <w:t>年</w:t>
            </w:r>
            <w:r>
              <w:rPr>
                <w:rStyle w:val="16"/>
                <w:rFonts w:hint="eastAsia" w:ascii="仿宋_GB2312" w:hAnsi="仿宋_GB2312" w:eastAsia="仿宋_GB2312" w:cs="仿宋_GB2312"/>
                <w:color w:val="auto"/>
                <w:sz w:val="20"/>
                <w:szCs w:val="20"/>
                <w:highlight w:val="none"/>
                <w:lang w:val="en-US" w:eastAsia="zh-CN" w:bidi="ar"/>
              </w:rPr>
              <w:t>9</w:t>
            </w:r>
            <w:r>
              <w:rPr>
                <w:rStyle w:val="17"/>
                <w:rFonts w:ascii="仿宋_GB2312" w:hAnsi="仿宋_GB2312" w:eastAsia="仿宋_GB2312" w:cs="仿宋_GB2312"/>
                <w:color w:val="auto"/>
                <w:sz w:val="20"/>
                <w:szCs w:val="20"/>
                <w:highlight w:val="none"/>
                <w:lang w:val="en-US" w:eastAsia="zh-CN" w:bidi="ar"/>
              </w:rPr>
              <w:t>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11</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电城镇坝头幼儿园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8</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Style w:val="16"/>
                <w:rFonts w:hint="eastAsia" w:ascii="仿宋_GB2312" w:hAnsi="仿宋_GB2312" w:eastAsia="仿宋_GB2312" w:cs="仿宋_GB2312"/>
                <w:color w:val="auto"/>
                <w:sz w:val="20"/>
                <w:szCs w:val="20"/>
                <w:highlight w:val="none"/>
                <w:lang w:val="en-US" w:eastAsia="zh-CN" w:bidi="ar"/>
              </w:rPr>
            </w:pPr>
            <w:r>
              <w:rPr>
                <w:rStyle w:val="16"/>
                <w:rFonts w:hint="eastAsia" w:ascii="仿宋_GB2312" w:hAnsi="仿宋_GB2312" w:eastAsia="仿宋_GB2312" w:cs="仿宋_GB2312"/>
                <w:color w:val="auto"/>
                <w:sz w:val="20"/>
                <w:szCs w:val="20"/>
                <w:highlight w:val="none"/>
                <w:lang w:val="en-US" w:eastAsia="zh-CN" w:bidi="ar"/>
              </w:rPr>
              <w:t>2025年9月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12</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滨海新区第一幼儿园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8</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Style w:val="16"/>
                <w:rFonts w:hint="eastAsia" w:ascii="仿宋_GB2312" w:hAnsi="仿宋_GB2312" w:eastAsia="仿宋_GB2312" w:cs="仿宋_GB2312"/>
                <w:color w:val="auto"/>
                <w:sz w:val="20"/>
                <w:szCs w:val="20"/>
                <w:highlight w:val="none"/>
                <w:lang w:val="en-US" w:eastAsia="zh-CN" w:bidi="ar"/>
              </w:rPr>
            </w:pPr>
            <w:r>
              <w:rPr>
                <w:rStyle w:val="16"/>
                <w:rFonts w:hint="eastAsia" w:ascii="仿宋_GB2312" w:hAnsi="仿宋_GB2312" w:eastAsia="仿宋_GB2312" w:cs="仿宋_GB2312"/>
                <w:color w:val="auto"/>
                <w:sz w:val="20"/>
                <w:szCs w:val="20"/>
                <w:highlight w:val="none"/>
                <w:lang w:val="en-US" w:eastAsia="zh-CN" w:bidi="ar"/>
              </w:rPr>
              <w:t>2024年9月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13</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信宜市职业技术学校附属幼儿园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36</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6739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14</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钱排</w:t>
            </w:r>
            <w:r>
              <w:rPr>
                <w:rFonts w:hint="eastAsia" w:ascii="仿宋_GB2312" w:hAnsi="仿宋_GB2312" w:eastAsia="仿宋_GB2312" w:cs="仿宋_GB2312"/>
                <w:i w:val="0"/>
                <w:color w:val="auto"/>
                <w:kern w:val="0"/>
                <w:sz w:val="20"/>
                <w:szCs w:val="20"/>
                <w:highlight w:val="none"/>
                <w:u w:val="none"/>
                <w:lang w:val="en-US" w:eastAsia="zh-CN" w:bidi="ar"/>
              </w:rPr>
              <w:t>县域副中心幼儿园（一期）</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30</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15</w:t>
            </w:r>
          </w:p>
        </w:tc>
        <w:tc>
          <w:tcPr>
            <w:tcW w:w="110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信宜市第一小学</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幼儿园迁建</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30</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16</w:t>
            </w:r>
          </w:p>
        </w:tc>
        <w:tc>
          <w:tcPr>
            <w:tcW w:w="1105"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信宜市玉都新区</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sz w:val="20"/>
                <w:szCs w:val="20"/>
                <w:highlight w:val="none"/>
                <w:u w:val="none"/>
                <w:lang w:val="en-US" w:eastAsia="zh-CN"/>
              </w:rPr>
              <w:t>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sz w:val="20"/>
                <w:szCs w:val="20"/>
                <w:highlight w:val="none"/>
                <w:u w:val="none"/>
                <w:lang w:val="en-US" w:eastAsia="zh-CN"/>
              </w:rPr>
              <w:t>60</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sz w:val="20"/>
                <w:szCs w:val="20"/>
                <w:highlight w:val="none"/>
                <w:u w:val="none"/>
                <w:lang w:val="en-US" w:eastAsia="zh-CN"/>
              </w:rPr>
              <w:t>2024年9月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sz w:val="20"/>
                <w:szCs w:val="20"/>
                <w:highlight w:val="none"/>
                <w:u w:val="none"/>
                <w:lang w:val="en-US" w:eastAsia="zh-CN"/>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sz w:val="20"/>
                <w:szCs w:val="20"/>
                <w:highlight w:val="none"/>
                <w:u w:val="none"/>
                <w:lang w:val="en-US" w:eastAsia="zh-CN"/>
              </w:rPr>
              <w:t>16500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17</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082"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信宜市东镇中心</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30</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2025年9月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5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18</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082"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信宜市怀乡镇中心</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幼儿园</w:t>
            </w:r>
          </w:p>
        </w:tc>
        <w:tc>
          <w:tcPr>
            <w:tcW w:w="12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30</w:t>
            </w:r>
          </w:p>
        </w:tc>
        <w:tc>
          <w:tcPr>
            <w:tcW w:w="145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kern w:val="0"/>
                <w:sz w:val="20"/>
                <w:szCs w:val="20"/>
                <w:highlight w:val="none"/>
                <w:u w:val="none"/>
                <w:lang w:val="en-US" w:eastAsia="zh-CN" w:bidi="ar"/>
              </w:rPr>
              <w:t>2024</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19</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播扬镇江南小学附属幼儿园</w:t>
            </w:r>
          </w:p>
        </w:tc>
        <w:tc>
          <w:tcPr>
            <w:tcW w:w="124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rPr>
            </w:pPr>
            <w:r>
              <w:rPr>
                <w:rFonts w:hint="eastAsia" w:ascii="仿宋_GB2312" w:hAnsi="仿宋_GB2312" w:eastAsia="仿宋_GB2312" w:cs="仿宋_GB2312"/>
                <w:i w:val="0"/>
                <w:color w:val="auto"/>
                <w:kern w:val="0"/>
                <w:sz w:val="20"/>
                <w:szCs w:val="20"/>
                <w:highlight w:val="none"/>
                <w:u w:val="none"/>
                <w:lang w:val="en-US" w:eastAsia="zh-CN" w:bidi="ar"/>
              </w:rPr>
              <w:t>2023</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20</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笪桥镇</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良</w:t>
            </w:r>
            <w:r>
              <w:rPr>
                <w:rFonts w:hint="eastAsia" w:ascii="仿宋_GB2312" w:hAnsi="仿宋_GB2312" w:eastAsia="仿宋_GB2312" w:cs="仿宋_GB2312"/>
                <w:i w:val="0"/>
                <w:color w:val="auto"/>
                <w:kern w:val="0"/>
                <w:sz w:val="20"/>
                <w:szCs w:val="20"/>
                <w:highlight w:val="none"/>
                <w:u w:val="none"/>
                <w:lang w:val="en-US" w:eastAsia="zh-CN" w:bidi="ar"/>
              </w:rPr>
              <w:t>埇小学附属幼儿园</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21</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名教小学附属幼儿园</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22</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丰村小学附属幼儿园</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2024年9月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23</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同庆镇山口小学附属幼儿园</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24</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南</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盛</w:t>
            </w:r>
            <w:r>
              <w:rPr>
                <w:rFonts w:hint="eastAsia" w:ascii="仿宋_GB2312" w:hAnsi="仿宋_GB2312" w:eastAsia="仿宋_GB2312" w:cs="仿宋_GB2312"/>
                <w:i w:val="0"/>
                <w:color w:val="auto"/>
                <w:kern w:val="0"/>
                <w:sz w:val="20"/>
                <w:szCs w:val="20"/>
                <w:highlight w:val="none"/>
                <w:u w:val="none"/>
                <w:lang w:val="en-US" w:eastAsia="zh-CN" w:bidi="ar"/>
              </w:rPr>
              <w:t>街道山</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尾</w:t>
            </w:r>
            <w:r>
              <w:rPr>
                <w:rFonts w:hint="eastAsia" w:ascii="仿宋_GB2312" w:hAnsi="仿宋_GB2312" w:eastAsia="仿宋_GB2312" w:cs="仿宋_GB2312"/>
                <w:i w:val="0"/>
                <w:color w:val="auto"/>
                <w:kern w:val="0"/>
                <w:sz w:val="20"/>
                <w:szCs w:val="20"/>
                <w:highlight w:val="none"/>
                <w:u w:val="none"/>
                <w:lang w:val="en-US" w:eastAsia="zh-CN" w:bidi="ar"/>
              </w:rPr>
              <w:t>小学附属幼儿园</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25</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鉴江街道新塘幼儿园</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26</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杨梅镇竹根园小学</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附属幼儿园</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27</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化州市</w:t>
            </w:r>
            <w:r>
              <w:rPr>
                <w:rFonts w:hint="eastAsia" w:ascii="仿宋_GB2312" w:hAnsi="仿宋_GB2312" w:eastAsia="仿宋_GB2312" w:cs="仿宋_GB2312"/>
                <w:i w:val="0"/>
                <w:color w:val="auto"/>
                <w:kern w:val="0"/>
                <w:sz w:val="20"/>
                <w:szCs w:val="20"/>
                <w:highlight w:val="none"/>
                <w:u w:val="none"/>
                <w:lang w:val="en-US" w:eastAsia="zh-CN" w:bidi="ar"/>
              </w:rPr>
              <w:t>罗江幼儿园</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24</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10070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28</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茂名</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临空经</w:t>
            </w:r>
            <w:r>
              <w:rPr>
                <w:rFonts w:hint="eastAsia" w:ascii="仿宋_GB2312" w:hAnsi="仿宋_GB2312" w:eastAsia="仿宋_GB2312" w:cs="仿宋_GB2312"/>
                <w:i w:val="0"/>
                <w:color w:val="auto"/>
                <w:kern w:val="0"/>
                <w:sz w:val="20"/>
                <w:szCs w:val="20"/>
                <w:highlight w:val="none"/>
                <w:u w:val="none"/>
                <w:lang w:val="en-US" w:eastAsia="zh-CN" w:bidi="ar"/>
              </w:rPr>
              <w:t>济区航空城第二幼儿园</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18</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val="0"/>
                <w:i w:val="0"/>
                <w:color w:val="auto"/>
                <w:kern w:val="0"/>
                <w:sz w:val="20"/>
                <w:szCs w:val="20"/>
                <w:highlight w:val="none"/>
                <w:u w:val="none"/>
                <w:lang w:val="en-US" w:eastAsia="zh-CN" w:bidi="ar"/>
              </w:rPr>
            </w:pPr>
            <w:r>
              <w:rPr>
                <w:rFonts w:hint="eastAsia" w:ascii="仿宋_GB2312" w:hAnsi="仿宋_GB2312" w:eastAsia="仿宋_GB2312" w:cs="仿宋_GB2312"/>
                <w:b w:val="0"/>
                <w:bCs w:val="0"/>
                <w:i w:val="0"/>
                <w:color w:val="auto"/>
                <w:kern w:val="0"/>
                <w:sz w:val="20"/>
                <w:szCs w:val="20"/>
                <w:highlight w:val="none"/>
                <w:u w:val="none"/>
                <w:lang w:val="en-US" w:eastAsia="zh-CN" w:bidi="ar"/>
              </w:rPr>
              <w:t>5492.89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29</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茂</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名临空</w:t>
            </w:r>
            <w:r>
              <w:rPr>
                <w:rFonts w:hint="eastAsia" w:ascii="仿宋_GB2312" w:hAnsi="仿宋_GB2312" w:eastAsia="仿宋_GB2312" w:cs="仿宋_GB2312"/>
                <w:i w:val="0"/>
                <w:color w:val="auto"/>
                <w:kern w:val="0"/>
                <w:sz w:val="20"/>
                <w:szCs w:val="20"/>
                <w:highlight w:val="none"/>
                <w:u w:val="none"/>
                <w:lang w:val="en-US" w:eastAsia="zh-CN" w:bidi="ar"/>
              </w:rPr>
              <w:t>经济区航空城第三幼儿园</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18</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val="0"/>
                <w:i w:val="0"/>
                <w:color w:val="auto"/>
                <w:kern w:val="0"/>
                <w:sz w:val="20"/>
                <w:szCs w:val="20"/>
                <w:highlight w:val="none"/>
                <w:u w:val="none"/>
                <w:lang w:val="en-US" w:eastAsia="zh-CN" w:bidi="ar"/>
              </w:rPr>
            </w:pPr>
            <w:r>
              <w:rPr>
                <w:rFonts w:hint="eastAsia" w:ascii="仿宋_GB2312" w:hAnsi="仿宋_GB2312" w:eastAsia="仿宋_GB2312" w:cs="仿宋_GB2312"/>
                <w:b w:val="0"/>
                <w:bCs w:val="0"/>
                <w:i w:val="0"/>
                <w:color w:val="auto"/>
                <w:kern w:val="0"/>
                <w:sz w:val="20"/>
                <w:szCs w:val="20"/>
                <w:highlight w:val="none"/>
                <w:u w:val="none"/>
                <w:lang w:val="en-US" w:eastAsia="zh-CN" w:bidi="ar"/>
              </w:rPr>
              <w:t>5492.89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30</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茂名</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临空</w:t>
            </w:r>
            <w:r>
              <w:rPr>
                <w:rFonts w:hint="eastAsia" w:ascii="仿宋_GB2312" w:hAnsi="仿宋_GB2312" w:eastAsia="仿宋_GB2312" w:cs="仿宋_GB2312"/>
                <w:i w:val="0"/>
                <w:color w:val="auto"/>
                <w:kern w:val="0"/>
                <w:sz w:val="20"/>
                <w:szCs w:val="20"/>
                <w:highlight w:val="none"/>
                <w:u w:val="none"/>
                <w:lang w:val="en-US" w:eastAsia="zh-CN" w:bidi="ar"/>
              </w:rPr>
              <w:t>经济区航空城第四幼儿园</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18</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val="0"/>
                <w:i w:val="0"/>
                <w:color w:val="auto"/>
                <w:kern w:val="0"/>
                <w:sz w:val="20"/>
                <w:szCs w:val="20"/>
                <w:highlight w:val="none"/>
                <w:u w:val="none"/>
                <w:lang w:val="en-US" w:eastAsia="zh-CN" w:bidi="ar"/>
              </w:rPr>
            </w:pPr>
            <w:r>
              <w:rPr>
                <w:rFonts w:hint="eastAsia" w:ascii="仿宋_GB2312" w:hAnsi="仿宋_GB2312" w:eastAsia="仿宋_GB2312" w:cs="仿宋_GB2312"/>
                <w:b w:val="0"/>
                <w:bCs w:val="0"/>
                <w:i w:val="0"/>
                <w:color w:val="auto"/>
                <w:kern w:val="0"/>
                <w:sz w:val="20"/>
                <w:szCs w:val="20"/>
                <w:highlight w:val="none"/>
                <w:u w:val="none"/>
                <w:lang w:val="en-US" w:eastAsia="zh-CN" w:bidi="ar"/>
              </w:rPr>
              <w:t>5492.89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31</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高州市第一幼儿园扩建项目</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2025年9月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val="0"/>
                <w:bCs w:val="0"/>
                <w:i w:val="0"/>
                <w:color w:val="auto"/>
                <w:kern w:val="0"/>
                <w:sz w:val="20"/>
                <w:szCs w:val="20"/>
                <w:highlight w:val="none"/>
                <w:u w:val="none"/>
                <w:lang w:val="en-US" w:eastAsia="zh-CN" w:bidi="ar"/>
              </w:rPr>
            </w:pPr>
            <w:r>
              <w:rPr>
                <w:rFonts w:hint="eastAsia" w:ascii="仿宋_GB2312" w:hAnsi="仿宋_GB2312" w:eastAsia="仿宋_GB2312" w:cs="仿宋_GB2312"/>
                <w:b w:val="0"/>
                <w:bCs w:val="0"/>
                <w:i w:val="0"/>
                <w:color w:val="auto"/>
                <w:kern w:val="0"/>
                <w:sz w:val="20"/>
                <w:szCs w:val="20"/>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32</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中梁国宾</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壹</w:t>
            </w:r>
            <w:r>
              <w:rPr>
                <w:rFonts w:hint="eastAsia" w:ascii="仿宋_GB2312" w:hAnsi="仿宋_GB2312" w:eastAsia="仿宋_GB2312" w:cs="仿宋_GB2312"/>
                <w:i w:val="0"/>
                <w:color w:val="auto"/>
                <w:kern w:val="0"/>
                <w:sz w:val="20"/>
                <w:szCs w:val="20"/>
                <w:highlight w:val="none"/>
                <w:u w:val="none"/>
                <w:lang w:val="en-US" w:eastAsia="zh-CN" w:bidi="ar"/>
              </w:rPr>
              <w:t>号小区配建幼儿园项目</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33</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石</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仔岭</w:t>
            </w:r>
            <w:r>
              <w:rPr>
                <w:rFonts w:hint="eastAsia" w:ascii="仿宋_GB2312" w:hAnsi="仿宋_GB2312" w:eastAsia="仿宋_GB2312" w:cs="仿宋_GB2312"/>
                <w:i w:val="0"/>
                <w:color w:val="auto"/>
                <w:kern w:val="0"/>
                <w:sz w:val="20"/>
                <w:szCs w:val="20"/>
                <w:highlight w:val="none"/>
                <w:u w:val="none"/>
                <w:lang w:val="en-US" w:eastAsia="zh-CN" w:bidi="ar"/>
              </w:rPr>
              <w:t>中心幼儿园</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建设项目</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12</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34</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高州市城东幼儿园</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建设项目</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35</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永盛中心城配建幼儿园项目</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36</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潭头镇中心幼儿园</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建设项目</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2025年9月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37</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tabs>
                <w:tab w:val="left" w:pos="334"/>
              </w:tabs>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云</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潭</w:t>
            </w:r>
            <w:r>
              <w:rPr>
                <w:rFonts w:hint="eastAsia" w:ascii="仿宋_GB2312" w:hAnsi="仿宋_GB2312" w:eastAsia="仿宋_GB2312" w:cs="仿宋_GB2312"/>
                <w:i w:val="0"/>
                <w:color w:val="auto"/>
                <w:kern w:val="0"/>
                <w:sz w:val="20"/>
                <w:szCs w:val="20"/>
                <w:highlight w:val="none"/>
                <w:u w:val="none"/>
                <w:lang w:val="en-US" w:eastAsia="zh-CN" w:bidi="ar"/>
              </w:rPr>
              <w:t>镇中心幼儿园</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建设项目</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2025年9月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38</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0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蓝光</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钰珑湾</w:t>
            </w:r>
            <w:r>
              <w:rPr>
                <w:rFonts w:hint="eastAsia" w:ascii="仿宋_GB2312" w:hAnsi="仿宋_GB2312" w:eastAsia="仿宋_GB2312" w:cs="仿宋_GB2312"/>
                <w:i w:val="0"/>
                <w:color w:val="auto"/>
                <w:kern w:val="0"/>
                <w:sz w:val="20"/>
                <w:szCs w:val="20"/>
                <w:highlight w:val="none"/>
                <w:u w:val="none"/>
                <w:lang w:val="en-US" w:eastAsia="zh-CN" w:bidi="ar"/>
              </w:rPr>
              <w:t>配建幼儿园项目</w:t>
            </w:r>
          </w:p>
        </w:tc>
        <w:tc>
          <w:tcPr>
            <w:tcW w:w="124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4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w:t>
            </w:r>
            <w:r>
              <w:rPr>
                <w:rStyle w:val="18"/>
                <w:rFonts w:ascii="仿宋_GB2312" w:hAnsi="仿宋_GB2312" w:eastAsia="仿宋_GB2312" w:cs="仿宋_GB2312"/>
                <w:color w:val="auto"/>
                <w:sz w:val="20"/>
                <w:szCs w:val="20"/>
                <w:highlight w:val="none"/>
                <w:lang w:val="en-US" w:eastAsia="zh-CN" w:bidi="ar"/>
              </w:rPr>
              <w:t>年</w:t>
            </w:r>
            <w:r>
              <w:rPr>
                <w:rFonts w:hint="eastAsia" w:ascii="仿宋_GB2312" w:hAnsi="仿宋_GB2312" w:eastAsia="仿宋_GB2312" w:cs="仿宋_GB2312"/>
                <w:i w:val="0"/>
                <w:color w:val="auto"/>
                <w:kern w:val="0"/>
                <w:sz w:val="20"/>
                <w:szCs w:val="20"/>
                <w:highlight w:val="none"/>
                <w:u w:val="none"/>
                <w:lang w:val="en-US" w:eastAsia="zh-CN" w:bidi="ar"/>
              </w:rPr>
              <w:t>9月</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是</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4" w:hRule="atLeast"/>
        </w:trPr>
        <w:tc>
          <w:tcPr>
            <w:tcW w:w="7998" w:type="dxa"/>
            <w:gridSpan w:val="1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hd w:val="clear" w:color="auto" w:fill="auto"/>
              <w:kinsoku/>
              <w:wordWrap/>
              <w:overflowPunct/>
              <w:topLinePunct w:val="0"/>
              <w:autoSpaceDE/>
              <w:autoSpaceDN/>
              <w:bidi w:val="0"/>
              <w:adjustRightInd w:val="0"/>
              <w:snapToGrid w:val="0"/>
              <w:jc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合计</w:t>
            </w:r>
          </w:p>
        </w:tc>
        <w:tc>
          <w:tcPr>
            <w:tcW w:w="12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rPr>
            </w:pPr>
            <w:r>
              <w:rPr>
                <w:rFonts w:hint="eastAsia" w:ascii="仿宋_GB2312" w:hAnsi="仿宋_GB2312" w:eastAsia="仿宋_GB2312" w:cs="仿宋_GB2312"/>
                <w:i w:val="0"/>
                <w:color w:val="auto"/>
                <w:kern w:val="0"/>
                <w:sz w:val="20"/>
                <w:szCs w:val="20"/>
                <w:highlight w:val="none"/>
                <w:u w:val="none"/>
                <w:shd w:val="clear" w:color="auto" w:fill="FFFFFF"/>
                <w:lang w:val="en-US" w:eastAsia="zh-CN" w:bidi="ar"/>
              </w:rPr>
              <w:t>173553.67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9287" w:type="dxa"/>
            <w:gridSpan w:val="1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b/>
                <w:bCs/>
                <w:i w:val="0"/>
                <w:color w:val="auto"/>
                <w:kern w:val="0"/>
                <w:sz w:val="28"/>
                <w:szCs w:val="28"/>
                <w:highlight w:val="none"/>
                <w:u w:val="none"/>
                <w:lang w:val="en-US" w:eastAsia="zh-CN" w:bidi="ar"/>
              </w:rPr>
              <w:t>九年义务教育阶段项目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序号</w:t>
            </w:r>
          </w:p>
        </w:tc>
        <w:tc>
          <w:tcPr>
            <w:tcW w:w="1315"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区（县级市）</w:t>
            </w:r>
          </w:p>
        </w:tc>
        <w:tc>
          <w:tcPr>
            <w:tcW w:w="2328"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项目名称</w:t>
            </w:r>
          </w:p>
        </w:tc>
        <w:tc>
          <w:tcPr>
            <w:tcW w:w="1038" w:type="dxa"/>
            <w:gridSpan w:val="5"/>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办学性质</w:t>
            </w:r>
          </w:p>
        </w:tc>
        <w:tc>
          <w:tcPr>
            <w:tcW w:w="1255"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建设类型</w:t>
            </w:r>
          </w:p>
        </w:tc>
        <w:tc>
          <w:tcPr>
            <w:tcW w:w="1592"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起止年限</w:t>
            </w:r>
          </w:p>
        </w:tc>
        <w:tc>
          <w:tcPr>
            <w:tcW w:w="124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kern w:val="0"/>
                <w:sz w:val="20"/>
                <w:szCs w:val="20"/>
                <w:highlight w:val="none"/>
                <w:u w:val="none"/>
                <w:lang w:val="en-US" w:eastAsia="zh-CN" w:bidi="ar"/>
              </w:rPr>
            </w:pPr>
            <w:r>
              <w:rPr>
                <w:rFonts w:hint="eastAsia" w:ascii="仿宋_GB2312" w:hAnsi="仿宋_GB2312" w:eastAsia="仿宋_GB2312" w:cs="仿宋_GB2312"/>
                <w:b/>
                <w:i w:val="0"/>
                <w:color w:val="auto"/>
                <w:kern w:val="0"/>
                <w:sz w:val="20"/>
                <w:szCs w:val="20"/>
                <w:highlight w:val="none"/>
                <w:u w:val="none"/>
                <w:lang w:val="en-US" w:eastAsia="zh-CN" w:bidi="ar"/>
              </w:rPr>
              <w:t>总投入</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市直属</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茂名市福地小学建设</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2021-2022</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13908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市直属</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茂名市愉园中学教学</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综合楼建设项目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color w:val="auto"/>
                <w:kern w:val="2"/>
                <w:sz w:val="20"/>
                <w:szCs w:val="20"/>
                <w:highlight w:val="none"/>
                <w:lang w:val="en-US" w:eastAsia="zh-CN" w:bidi="ar"/>
              </w:rPr>
              <w:t>扩</w:t>
            </w:r>
            <w:r>
              <w:rPr>
                <w:rFonts w:hint="eastAsia" w:ascii="仿宋_GB2312" w:hAnsi="仿宋_GB2312" w:eastAsia="仿宋_GB2312" w:cs="仿宋_GB2312"/>
                <w:i w:val="0"/>
                <w:color w:val="auto"/>
                <w:kern w:val="0"/>
                <w:sz w:val="20"/>
                <w:szCs w:val="20"/>
                <w:highlight w:val="none"/>
                <w:u w:val="none"/>
                <w:lang w:val="en-US" w:eastAsia="zh-CN" w:bidi="ar"/>
              </w:rPr>
              <w:t>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市直属</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茂名市</w:t>
            </w:r>
            <w:r>
              <w:rPr>
                <w:rFonts w:hint="eastAsia" w:ascii="仿宋_GB2312" w:hAnsi="仿宋_GB2312" w:eastAsia="仿宋_GB2312" w:cs="仿宋_GB2312"/>
                <w:color w:val="auto"/>
                <w:kern w:val="2"/>
                <w:sz w:val="20"/>
                <w:szCs w:val="20"/>
                <w:highlight w:val="none"/>
                <w:shd w:val="clear" w:color="auto" w:fill="auto"/>
                <w:lang w:val="en-US" w:eastAsia="zh-CN" w:bidi="ar"/>
              </w:rPr>
              <w:t>趣</w:t>
            </w:r>
            <w:r>
              <w:rPr>
                <w:rFonts w:hint="eastAsia" w:ascii="仿宋_GB2312" w:hAnsi="仿宋_GB2312" w:eastAsia="仿宋_GB2312" w:cs="仿宋_GB2312"/>
                <w:color w:val="auto"/>
                <w:kern w:val="2"/>
                <w:sz w:val="20"/>
                <w:szCs w:val="20"/>
                <w:highlight w:val="none"/>
                <w:lang w:val="en-US" w:eastAsia="zh-CN" w:bidi="ar"/>
              </w:rPr>
              <w:t>园中学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4</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市直属</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茂名市</w:t>
            </w:r>
            <w:r>
              <w:rPr>
                <w:rFonts w:hint="eastAsia" w:ascii="仿宋_GB2312" w:hAnsi="仿宋_GB2312" w:eastAsia="仿宋_GB2312" w:cs="仿宋_GB2312"/>
                <w:color w:val="auto"/>
                <w:kern w:val="2"/>
                <w:sz w:val="20"/>
                <w:szCs w:val="20"/>
                <w:highlight w:val="none"/>
                <w:shd w:val="clear" w:color="auto" w:fill="auto"/>
                <w:lang w:val="en-US" w:eastAsia="zh-CN" w:bidi="ar"/>
              </w:rPr>
              <w:t>趣</w:t>
            </w:r>
            <w:r>
              <w:rPr>
                <w:rFonts w:hint="eastAsia" w:ascii="仿宋_GB2312" w:hAnsi="仿宋_GB2312" w:eastAsia="仿宋_GB2312" w:cs="仿宋_GB2312"/>
                <w:color w:val="auto"/>
                <w:kern w:val="2"/>
                <w:sz w:val="20"/>
                <w:szCs w:val="20"/>
                <w:highlight w:val="none"/>
                <w:lang w:val="en-US" w:eastAsia="zh-CN" w:bidi="ar"/>
              </w:rPr>
              <w:t>园小学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5</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color="auto" w:fill="auto"/>
              <w:adjustRightInd w:val="0"/>
              <w:snapToGrid w:val="0"/>
              <w:spacing w:before="0" w:beforeLines="0" w:beforeAutospacing="0" w:after="0" w:afterLines="0" w:afterAutospacing="0"/>
              <w:ind w:left="0" w:leftChars="0" w:right="0" w:rightChars="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市直属</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茂名市新世纪学校</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综合楼</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color="auto" w:fill="auto"/>
              <w:adjustRightInd w:val="0"/>
              <w:snapToGrid w:val="0"/>
              <w:spacing w:before="0" w:beforeLines="0" w:beforeAutospacing="0" w:after="0" w:afterLines="0" w:afterAutospacing="0"/>
              <w:ind w:left="0" w:leftChars="0" w:right="0" w:rightChars="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color="auto" w:fill="auto"/>
              <w:adjustRightInd w:val="0"/>
              <w:snapToGrid w:val="0"/>
              <w:spacing w:before="0" w:beforeLines="0" w:beforeAutospacing="0" w:after="0" w:afterLines="0" w:afterAutospacing="0"/>
              <w:ind w:left="0" w:leftChars="0" w:right="0" w:rightChars="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color="auto" w:fill="auto"/>
              <w:adjustRightInd w:val="0"/>
              <w:snapToGrid w:val="0"/>
              <w:spacing w:before="0" w:beforeLines="0" w:beforeAutospacing="0" w:after="0" w:afterLines="0" w:afterAutospacing="0"/>
              <w:ind w:left="0" w:leftChars="0" w:right="0" w:rightChars="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sz w:val="20"/>
                <w:szCs w:val="20"/>
                <w:highlight w:val="none"/>
                <w:lang w:val="en-US" w:eastAsia="zh-CN"/>
              </w:rPr>
              <w:t>2022-2023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color="auto" w:fill="auto"/>
              <w:adjustRightInd w:val="0"/>
              <w:snapToGrid w:val="0"/>
              <w:spacing w:before="0" w:beforeLines="0" w:beforeAutospacing="0" w:after="0" w:afterLines="0" w:afterAutospacing="0"/>
              <w:ind w:left="0" w:leftChars="0" w:right="0" w:rightChars="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8898.03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袂花镇北斗小学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10200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7</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羊角镇</w:t>
            </w:r>
            <w:r>
              <w:rPr>
                <w:rFonts w:hint="eastAsia" w:ascii="仿宋_GB2312" w:hAnsi="仿宋_GB2312" w:eastAsia="仿宋_GB2312" w:cs="仿宋_GB2312"/>
                <w:color w:val="auto"/>
                <w:kern w:val="2"/>
                <w:sz w:val="20"/>
                <w:szCs w:val="20"/>
                <w:highlight w:val="none"/>
                <w:shd w:val="clear" w:color="auto" w:fill="auto"/>
                <w:lang w:val="en-US" w:eastAsia="zh-CN" w:bidi="ar"/>
              </w:rPr>
              <w:t>坡仔</w:t>
            </w:r>
            <w:r>
              <w:rPr>
                <w:rFonts w:hint="eastAsia" w:ascii="仿宋_GB2312" w:hAnsi="仿宋_GB2312" w:eastAsia="仿宋_GB2312" w:cs="仿宋_GB2312"/>
                <w:color w:val="auto"/>
                <w:kern w:val="2"/>
                <w:sz w:val="20"/>
                <w:szCs w:val="20"/>
                <w:highlight w:val="none"/>
                <w:lang w:val="en-US" w:eastAsia="zh-CN" w:bidi="ar"/>
              </w:rPr>
              <w:t>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8</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shd w:val="clear" w:color="auto" w:fill="auto"/>
                <w:lang w:val="en-US" w:eastAsia="zh-CN" w:bidi="ar"/>
              </w:rPr>
              <w:t>茂</w:t>
            </w:r>
            <w:r>
              <w:rPr>
                <w:rFonts w:hint="eastAsia" w:ascii="仿宋_GB2312" w:hAnsi="仿宋_GB2312" w:eastAsia="仿宋_GB2312" w:cs="仿宋_GB2312"/>
                <w:color w:val="auto"/>
                <w:kern w:val="2"/>
                <w:sz w:val="20"/>
                <w:szCs w:val="20"/>
                <w:highlight w:val="none"/>
                <w:lang w:val="en-US" w:eastAsia="zh-CN" w:bidi="ar"/>
              </w:rPr>
              <w:t>南第一实验学校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rPr>
            </w:pPr>
            <w:r>
              <w:rPr>
                <w:rFonts w:hint="eastAsia" w:ascii="仿宋_GB2312" w:hAnsi="仿宋_GB2312" w:eastAsia="仿宋_GB2312" w:cs="仿宋_GB2312"/>
                <w:i w:val="0"/>
                <w:color w:val="auto"/>
                <w:kern w:val="0"/>
                <w:sz w:val="20"/>
                <w:szCs w:val="20"/>
                <w:highlight w:val="none"/>
                <w:u w:val="none"/>
                <w:lang w:val="en-US" w:eastAsia="zh-CN" w:bidi="ar"/>
              </w:rPr>
              <w:t>21528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9</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茂名市茂南区义务教育学校新建工程（包括新建茂名市茂南区岭南小学、秀雅学校、吉祥小学、</w:t>
            </w:r>
            <w:r>
              <w:rPr>
                <w:rFonts w:hint="eastAsia" w:ascii="仿宋_GB2312" w:hAnsi="仿宋_GB2312" w:eastAsia="仿宋_GB2312" w:cs="仿宋_GB2312"/>
                <w:color w:val="auto"/>
                <w:kern w:val="2"/>
                <w:sz w:val="20"/>
                <w:szCs w:val="20"/>
                <w:highlight w:val="none"/>
                <w:shd w:val="clear" w:color="auto" w:fill="auto"/>
                <w:lang w:val="en-US" w:eastAsia="zh-CN" w:bidi="ar"/>
              </w:rPr>
              <w:t>梓悦</w:t>
            </w:r>
            <w:r>
              <w:rPr>
                <w:rFonts w:hint="eastAsia" w:ascii="仿宋_GB2312" w:hAnsi="仿宋_GB2312" w:eastAsia="仿宋_GB2312" w:cs="仿宋_GB2312"/>
                <w:color w:val="auto"/>
                <w:kern w:val="2"/>
                <w:sz w:val="20"/>
                <w:szCs w:val="20"/>
                <w:highlight w:val="none"/>
                <w:lang w:val="en-US" w:eastAsia="zh-CN" w:bidi="ar"/>
              </w:rPr>
              <w:t>台小学、云</w:t>
            </w:r>
            <w:r>
              <w:rPr>
                <w:rFonts w:hint="eastAsia" w:ascii="仿宋_GB2312" w:hAnsi="仿宋_GB2312" w:eastAsia="仿宋_GB2312" w:cs="仿宋_GB2312"/>
                <w:color w:val="auto"/>
                <w:kern w:val="2"/>
                <w:sz w:val="20"/>
                <w:szCs w:val="20"/>
                <w:highlight w:val="none"/>
                <w:shd w:val="clear" w:color="auto" w:fill="auto"/>
                <w:lang w:val="en-US" w:eastAsia="zh-CN" w:bidi="ar"/>
              </w:rPr>
              <w:t>禧</w:t>
            </w:r>
            <w:r>
              <w:rPr>
                <w:rFonts w:hint="eastAsia" w:ascii="仿宋_GB2312" w:hAnsi="仿宋_GB2312" w:eastAsia="仿宋_GB2312" w:cs="仿宋_GB2312"/>
                <w:color w:val="auto"/>
                <w:kern w:val="2"/>
                <w:sz w:val="20"/>
                <w:szCs w:val="20"/>
                <w:highlight w:val="none"/>
                <w:lang w:val="en-US" w:eastAsia="zh-CN" w:bidi="ar"/>
              </w:rPr>
              <w:t>学校、惠民学校工程）</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10</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广外附设茂名实验学校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2021-2022</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11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华</w:t>
            </w:r>
            <w:r>
              <w:rPr>
                <w:rFonts w:hint="eastAsia" w:ascii="仿宋_GB2312" w:hAnsi="仿宋_GB2312" w:eastAsia="仿宋_GB2312" w:cs="仿宋_GB2312"/>
                <w:color w:val="auto"/>
                <w:kern w:val="2"/>
                <w:sz w:val="20"/>
                <w:szCs w:val="20"/>
                <w:highlight w:val="none"/>
                <w:shd w:val="clear" w:color="auto" w:fill="auto"/>
                <w:lang w:val="en-US" w:eastAsia="zh-CN" w:bidi="ar"/>
              </w:rPr>
              <w:t>师</w:t>
            </w:r>
            <w:r>
              <w:rPr>
                <w:rFonts w:hint="eastAsia" w:ascii="仿宋_GB2312" w:hAnsi="仿宋_GB2312" w:eastAsia="仿宋_GB2312" w:cs="仿宋_GB2312"/>
                <w:color w:val="auto"/>
                <w:kern w:val="2"/>
                <w:sz w:val="20"/>
                <w:szCs w:val="20"/>
                <w:highlight w:val="none"/>
                <w:lang w:val="en-US" w:eastAsia="zh-CN" w:bidi="ar"/>
              </w:rPr>
              <w:t>附属</w:t>
            </w:r>
            <w:r>
              <w:rPr>
                <w:rFonts w:hint="eastAsia" w:ascii="仿宋_GB2312" w:hAnsi="仿宋_GB2312" w:eastAsia="仿宋_GB2312" w:cs="仿宋_GB2312"/>
                <w:color w:val="auto"/>
                <w:kern w:val="2"/>
                <w:sz w:val="20"/>
                <w:szCs w:val="20"/>
                <w:highlight w:val="none"/>
                <w:shd w:val="clear" w:color="auto" w:fill="auto"/>
                <w:lang w:val="en-US" w:eastAsia="zh-CN" w:bidi="ar"/>
              </w:rPr>
              <w:t>茂</w:t>
            </w:r>
            <w:r>
              <w:rPr>
                <w:rFonts w:hint="eastAsia" w:ascii="仿宋_GB2312" w:hAnsi="仿宋_GB2312" w:eastAsia="仿宋_GB2312" w:cs="仿宋_GB2312"/>
                <w:color w:val="auto"/>
                <w:kern w:val="2"/>
                <w:sz w:val="20"/>
                <w:szCs w:val="20"/>
                <w:highlight w:val="none"/>
                <w:lang w:val="en-US" w:eastAsia="zh-CN" w:bidi="ar"/>
              </w:rPr>
              <w:t>南实验学校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12</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茂南区西城学校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13</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茂名市南海岛华侨城</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2021-2022</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14</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电白五小建设工程</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11350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15</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坡心镇</w:t>
            </w:r>
            <w:r>
              <w:rPr>
                <w:rFonts w:hint="eastAsia" w:ascii="仿宋_GB2312" w:hAnsi="仿宋_GB2312" w:eastAsia="仿宋_GB2312" w:cs="仿宋_GB2312"/>
                <w:color w:val="auto"/>
                <w:kern w:val="2"/>
                <w:sz w:val="20"/>
                <w:szCs w:val="20"/>
                <w:highlight w:val="none"/>
                <w:shd w:val="clear" w:color="auto" w:fill="auto"/>
                <w:lang w:val="en-US" w:eastAsia="zh-CN" w:bidi="ar"/>
              </w:rPr>
              <w:t>牛</w:t>
            </w:r>
            <w:r>
              <w:rPr>
                <w:rFonts w:hint="eastAsia" w:ascii="仿宋_GB2312" w:hAnsi="仿宋_GB2312" w:eastAsia="仿宋_GB2312" w:cs="仿宋_GB2312"/>
                <w:color w:val="auto"/>
                <w:kern w:val="2"/>
                <w:sz w:val="20"/>
                <w:szCs w:val="20"/>
                <w:highlight w:val="none"/>
                <w:lang w:val="en-US" w:eastAsia="zh-CN" w:bidi="ar"/>
              </w:rPr>
              <w:t>六架小学建设工程</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9800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16</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电海街道蓝田坡小学</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建设工程</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10800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17</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旦场镇王村小学搬迁</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jc w:val="center"/>
              <w:textAlignment w:val="center"/>
              <w:rPr>
                <w:rFonts w:hint="eastAsia" w:ascii="仿宋_GB2312" w:hAnsi="仿宋_GB2312" w:eastAsia="仿宋_GB2312" w:cs="仿宋_GB2312"/>
                <w:color w:val="auto"/>
                <w:kern w:val="2"/>
                <w:sz w:val="20"/>
                <w:szCs w:val="20"/>
                <w:highlight w:val="none"/>
                <w:lang w:val="en-US" w:eastAsia="zh-CN" w:bidi="ar"/>
              </w:rPr>
            </w:pPr>
            <w:r>
              <w:rPr>
                <w:rFonts w:hint="eastAsia" w:ascii="仿宋_GB2312" w:hAnsi="仿宋_GB2312" w:eastAsia="仿宋_GB2312" w:cs="仿宋_GB2312"/>
                <w:color w:val="auto"/>
                <w:kern w:val="2"/>
                <w:sz w:val="20"/>
                <w:szCs w:val="20"/>
                <w:highlight w:val="none"/>
                <w:lang w:val="en-US" w:eastAsia="zh-CN" w:bidi="ar"/>
              </w:rPr>
              <w:t>建设工程</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18</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水东中学扩建工程</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 xml:space="preserve">公办 </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10500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19</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第十小学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17200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陈村街道</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登步</w:t>
            </w:r>
            <w:r>
              <w:rPr>
                <w:rFonts w:hint="eastAsia" w:ascii="仿宋_GB2312" w:hAnsi="仿宋_GB2312" w:eastAsia="仿宋_GB2312" w:cs="仿宋_GB2312"/>
                <w:i w:val="0"/>
                <w:color w:val="auto"/>
                <w:kern w:val="0"/>
                <w:sz w:val="20"/>
                <w:szCs w:val="20"/>
                <w:highlight w:val="none"/>
                <w:u w:val="none"/>
                <w:lang w:val="en-US" w:eastAsia="zh-CN" w:bidi="ar"/>
              </w:rPr>
              <w:t>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电海街道蓝田坡中学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2024-2025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22</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设立博贺湾新城小学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45000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23</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电城镇中心小学</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爵</w:t>
            </w:r>
            <w:r>
              <w:rPr>
                <w:rFonts w:hint="eastAsia" w:ascii="仿宋_GB2312" w:hAnsi="仿宋_GB2312" w:eastAsia="仿宋_GB2312" w:cs="仿宋_GB2312"/>
                <w:i w:val="0"/>
                <w:color w:val="auto"/>
                <w:kern w:val="0"/>
                <w:sz w:val="20"/>
                <w:szCs w:val="20"/>
                <w:highlight w:val="none"/>
                <w:u w:val="none"/>
                <w:lang w:val="en-US" w:eastAsia="zh-CN" w:bidi="ar"/>
              </w:rPr>
              <w:t>西</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校区</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改建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24</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改扩建</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电</w:t>
            </w:r>
            <w:r>
              <w:rPr>
                <w:rFonts w:hint="eastAsia" w:ascii="仿宋_GB2312" w:hAnsi="仿宋_GB2312" w:eastAsia="仿宋_GB2312" w:cs="仿宋_GB2312"/>
                <w:i w:val="0"/>
                <w:color w:val="auto"/>
                <w:kern w:val="0"/>
                <w:sz w:val="20"/>
                <w:szCs w:val="20"/>
                <w:highlight w:val="none"/>
                <w:u w:val="none"/>
                <w:lang w:val="en-US" w:eastAsia="zh-CN" w:bidi="ar"/>
              </w:rPr>
              <w:t>城镇</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港</w:t>
            </w:r>
            <w:r>
              <w:rPr>
                <w:rFonts w:hint="eastAsia" w:ascii="仿宋_GB2312" w:hAnsi="仿宋_GB2312" w:eastAsia="仿宋_GB2312" w:cs="仿宋_GB2312"/>
                <w:i w:val="0"/>
                <w:color w:val="auto"/>
                <w:kern w:val="0"/>
                <w:sz w:val="20"/>
                <w:szCs w:val="20"/>
                <w:highlight w:val="none"/>
                <w:u w:val="none"/>
                <w:lang w:val="en-US" w:eastAsia="zh-CN" w:bidi="ar"/>
              </w:rPr>
              <w:t>头小学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改建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25</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改扩建</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电</w:t>
            </w:r>
            <w:r>
              <w:rPr>
                <w:rFonts w:hint="eastAsia" w:ascii="仿宋_GB2312" w:hAnsi="仿宋_GB2312" w:eastAsia="仿宋_GB2312" w:cs="仿宋_GB2312"/>
                <w:i w:val="0"/>
                <w:color w:val="auto"/>
                <w:kern w:val="0"/>
                <w:sz w:val="20"/>
                <w:szCs w:val="20"/>
                <w:highlight w:val="none"/>
                <w:u w:val="none"/>
                <w:lang w:val="en-US" w:eastAsia="zh-CN" w:bidi="ar"/>
              </w:rPr>
              <w:t>城镇河</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望</w:t>
            </w:r>
            <w:r>
              <w:rPr>
                <w:rFonts w:hint="eastAsia" w:ascii="仿宋_GB2312" w:hAnsi="仿宋_GB2312" w:eastAsia="仿宋_GB2312" w:cs="仿宋_GB2312"/>
                <w:i w:val="0"/>
                <w:color w:val="auto"/>
                <w:kern w:val="0"/>
                <w:sz w:val="20"/>
                <w:szCs w:val="20"/>
                <w:highlight w:val="none"/>
                <w:u w:val="none"/>
                <w:lang w:val="en-US" w:eastAsia="zh-CN" w:bidi="ar"/>
              </w:rPr>
              <w:t>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改建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26</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改扩建</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电</w:t>
            </w:r>
            <w:r>
              <w:rPr>
                <w:rFonts w:hint="eastAsia" w:ascii="仿宋_GB2312" w:hAnsi="仿宋_GB2312" w:eastAsia="仿宋_GB2312" w:cs="仿宋_GB2312"/>
                <w:i w:val="0"/>
                <w:color w:val="auto"/>
                <w:kern w:val="0"/>
                <w:sz w:val="20"/>
                <w:szCs w:val="20"/>
                <w:highlight w:val="none"/>
                <w:u w:val="none"/>
                <w:lang w:val="en-US" w:eastAsia="zh-CN" w:bidi="ar"/>
              </w:rPr>
              <w:t>城镇海茂小学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改建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27</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龙山中学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改建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7305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28</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shd w:val="clear" w:color="auto" w:fill="FFFFFF"/>
                <w:lang w:val="en-US" w:eastAsia="zh-CN" w:bidi="ar"/>
              </w:rPr>
              <w:t>广东实验中学附属茂名中学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2021-2022</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29</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sz w:val="20"/>
                <w:szCs w:val="20"/>
                <w:highlight w:val="none"/>
                <w:u w:val="none"/>
              </w:rPr>
              <w:t>高新区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sz w:val="20"/>
                <w:szCs w:val="20"/>
                <w:highlight w:val="none"/>
                <w:u w:val="none"/>
              </w:rPr>
              <w:t>七迳镇中心小学学生</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sz w:val="20"/>
                <w:szCs w:val="20"/>
                <w:highlight w:val="none"/>
                <w:u w:val="none"/>
              </w:rPr>
              <w:t>宿舍楼</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2020-2023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1298.3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30</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曙光小学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待定</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大同学校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待定</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15300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32</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太和学校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待定</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19200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33</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大德学校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待定</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2"/>
                <w:sz w:val="20"/>
                <w:szCs w:val="20"/>
                <w:highlight w:val="none"/>
                <w:u w:val="none"/>
                <w:lang w:val="en-US" w:eastAsia="zh-CN" w:bidi="ar-SA"/>
              </w:rPr>
              <w:t>34</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砺</w:t>
            </w:r>
            <w:r>
              <w:rPr>
                <w:rFonts w:hint="eastAsia" w:ascii="仿宋_GB2312" w:hAnsi="仿宋_GB2312" w:eastAsia="仿宋_GB2312" w:cs="仿宋_GB2312"/>
                <w:i w:val="0"/>
                <w:color w:val="auto"/>
                <w:kern w:val="0"/>
                <w:sz w:val="20"/>
                <w:szCs w:val="20"/>
                <w:highlight w:val="none"/>
                <w:u w:val="none"/>
                <w:lang w:val="en-US" w:eastAsia="zh-CN" w:bidi="ar"/>
              </w:rPr>
              <w:t>儒小学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2024-2025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35</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信宜市白石中心小学、幼儿园迁建</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迁建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36</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信宜市怀乡中心小学</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迁建</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迁建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37</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华南师范大学附属信宜学校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35800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38</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rPr>
              <w:t>广外附属信宜学校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28800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39</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信宜市第五中学迁建</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2025-2028</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40</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信宜市第十三小学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9685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41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信宜市华侨路小学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6700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42</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耀</w:t>
            </w:r>
            <w:r>
              <w:rPr>
                <w:rFonts w:hint="eastAsia" w:ascii="仿宋_GB2312" w:hAnsi="仿宋_GB2312" w:eastAsia="仿宋_GB2312" w:cs="仿宋_GB2312"/>
                <w:i w:val="0"/>
                <w:color w:val="auto"/>
                <w:kern w:val="0"/>
                <w:sz w:val="20"/>
                <w:szCs w:val="20"/>
                <w:highlight w:val="none"/>
                <w:u w:val="none"/>
                <w:lang w:val="en-US" w:eastAsia="zh-CN" w:bidi="ar"/>
              </w:rPr>
              <w:t>明小学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rPr>
            </w:pPr>
            <w:r>
              <w:rPr>
                <w:rFonts w:hint="eastAsia" w:ascii="仿宋_GB2312" w:hAnsi="仿宋_GB2312" w:eastAsia="仿宋_GB2312" w:cs="仿宋_GB2312"/>
                <w:i w:val="0"/>
                <w:color w:val="auto"/>
                <w:kern w:val="0"/>
                <w:sz w:val="20"/>
                <w:szCs w:val="20"/>
                <w:highlight w:val="none"/>
                <w:u w:val="none"/>
                <w:lang w:val="en-US" w:eastAsia="zh-CN" w:bidi="ar"/>
              </w:rPr>
              <w:t>10575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43</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化州市南粤小学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44</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化州市绿</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景</w:t>
            </w:r>
            <w:r>
              <w:rPr>
                <w:rFonts w:hint="eastAsia" w:ascii="仿宋_GB2312" w:hAnsi="仿宋_GB2312" w:eastAsia="仿宋_GB2312" w:cs="仿宋_GB2312"/>
                <w:i w:val="0"/>
                <w:color w:val="auto"/>
                <w:kern w:val="0"/>
                <w:sz w:val="20"/>
                <w:szCs w:val="20"/>
                <w:highlight w:val="none"/>
                <w:u w:val="none"/>
                <w:lang w:val="en-US" w:eastAsia="zh-CN" w:bidi="ar"/>
              </w:rPr>
              <w:t>花城小学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45</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化州市鉴江小学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46</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化州市河西街道</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大</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坡</w:t>
            </w:r>
            <w:r>
              <w:rPr>
                <w:rFonts w:hint="eastAsia" w:ascii="仿宋_GB2312" w:hAnsi="仿宋_GB2312" w:eastAsia="仿宋_GB2312" w:cs="仿宋_GB2312"/>
                <w:i w:val="0"/>
                <w:color w:val="auto"/>
                <w:kern w:val="0"/>
                <w:sz w:val="20"/>
                <w:szCs w:val="20"/>
                <w:highlight w:val="none"/>
                <w:u w:val="none"/>
                <w:lang w:val="en-US" w:eastAsia="zh-CN" w:bidi="ar"/>
              </w:rPr>
              <w:t>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迁建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12500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47</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化州市罗江学校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14049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48</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茂名航空城第一初级</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中学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49</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茂名航空城第一小学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50</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sz w:val="20"/>
                <w:szCs w:val="20"/>
                <w:highlight w:val="none"/>
                <w:u w:val="none"/>
                <w:lang w:val="en-US" w:eastAsia="zh-CN"/>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sz w:val="20"/>
                <w:szCs w:val="20"/>
                <w:highlight w:val="none"/>
                <w:u w:val="none"/>
                <w:lang w:eastAsia="zh-CN"/>
              </w:rPr>
              <w:t>化州市官桥镇</w:t>
            </w:r>
            <w:r>
              <w:rPr>
                <w:rFonts w:hint="eastAsia" w:ascii="仿宋_GB2312" w:hAnsi="仿宋_GB2312" w:eastAsia="仿宋_GB2312" w:cs="仿宋_GB2312"/>
                <w:i w:val="0"/>
                <w:color w:val="auto"/>
                <w:sz w:val="20"/>
                <w:szCs w:val="20"/>
                <w:highlight w:val="none"/>
                <w:u w:val="none"/>
              </w:rPr>
              <w:t>丰村小学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sz w:val="20"/>
                <w:szCs w:val="20"/>
                <w:highlight w:val="none"/>
                <w:u w:val="none"/>
                <w:lang w:val="en-US" w:eastAsia="zh-CN"/>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改扩建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51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化州市</w:t>
            </w:r>
            <w:r>
              <w:rPr>
                <w:rFonts w:hint="eastAsia" w:ascii="仿宋_GB2312" w:hAnsi="仿宋_GB2312" w:eastAsia="仿宋_GB2312" w:cs="仿宋_GB2312"/>
                <w:i w:val="0"/>
                <w:color w:val="auto"/>
                <w:sz w:val="20"/>
                <w:szCs w:val="20"/>
                <w:highlight w:val="none"/>
                <w:u w:val="none"/>
              </w:rPr>
              <w:t>红</w:t>
            </w:r>
            <w:r>
              <w:rPr>
                <w:rFonts w:hint="eastAsia" w:ascii="仿宋_GB2312" w:hAnsi="仿宋_GB2312" w:eastAsia="仿宋_GB2312" w:cs="仿宋_GB2312"/>
                <w:i w:val="0"/>
                <w:color w:val="auto"/>
                <w:sz w:val="20"/>
                <w:szCs w:val="20"/>
                <w:highlight w:val="none"/>
                <w:u w:val="none"/>
                <w:shd w:val="clear" w:color="auto" w:fill="auto"/>
              </w:rPr>
              <w:t>峰</w:t>
            </w:r>
            <w:r>
              <w:rPr>
                <w:rFonts w:hint="eastAsia" w:ascii="仿宋_GB2312" w:hAnsi="仿宋_GB2312" w:eastAsia="仿宋_GB2312" w:cs="仿宋_GB2312"/>
                <w:i w:val="0"/>
                <w:color w:val="auto"/>
                <w:sz w:val="20"/>
                <w:szCs w:val="20"/>
                <w:highlight w:val="none"/>
                <w:u w:val="none"/>
              </w:rPr>
              <w:t>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改扩建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52</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sz w:val="20"/>
                <w:szCs w:val="20"/>
                <w:highlight w:val="none"/>
                <w:u w:val="none"/>
                <w:lang w:val="en-US" w:eastAsia="zh-CN"/>
              </w:rPr>
              <w:t>化州市特殊教育学校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53</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茂名</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临空</w:t>
            </w:r>
            <w:r>
              <w:rPr>
                <w:rFonts w:hint="eastAsia" w:ascii="仿宋_GB2312" w:hAnsi="仿宋_GB2312" w:eastAsia="仿宋_GB2312" w:cs="仿宋_GB2312"/>
                <w:i w:val="0"/>
                <w:color w:val="auto"/>
                <w:kern w:val="0"/>
                <w:sz w:val="20"/>
                <w:szCs w:val="20"/>
                <w:highlight w:val="none"/>
                <w:u w:val="none"/>
                <w:lang w:val="en-US" w:eastAsia="zh-CN" w:bidi="ar"/>
              </w:rPr>
              <w:t>经济区航空城德育学校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54</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高州市第七中学扩建</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sz w:val="20"/>
                <w:szCs w:val="20"/>
                <w:highlight w:val="none"/>
                <w:u w:val="none"/>
                <w:lang w:val="en-US" w:eastAsia="zh-CN"/>
              </w:rPr>
              <w:t>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2022-2025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55</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高州市第十中学建设</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sz w:val="20"/>
                <w:szCs w:val="20"/>
                <w:highlight w:val="none"/>
                <w:u w:val="none"/>
                <w:lang w:val="en-US" w:eastAsia="zh-CN"/>
              </w:rPr>
              <w:t>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2"/>
                <w:sz w:val="20"/>
                <w:szCs w:val="20"/>
                <w:highlight w:val="none"/>
                <w:u w:val="none"/>
                <w:lang w:val="en-US" w:eastAsia="zh-CN" w:bidi="ar-SA"/>
              </w:rPr>
              <w:t>56</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高州市第八中学迁建</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项目</w:t>
            </w:r>
          </w:p>
        </w:tc>
        <w:tc>
          <w:tcPr>
            <w:tcW w:w="103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迁建</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2022-2025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29650.65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57</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高州市第三中学扩建</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2020-2023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58</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高州市第九中学建设</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59</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城东初中</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建设项目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60</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高州市第三小学建设</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2020-2021</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5677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61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山美</w:t>
            </w:r>
            <w:r>
              <w:rPr>
                <w:rFonts w:hint="eastAsia" w:ascii="仿宋_GB2312" w:hAnsi="仿宋_GB2312" w:eastAsia="仿宋_GB2312" w:cs="仿宋_GB2312"/>
                <w:i w:val="0"/>
                <w:color w:val="auto"/>
                <w:kern w:val="0"/>
                <w:sz w:val="20"/>
                <w:szCs w:val="20"/>
                <w:highlight w:val="none"/>
                <w:u w:val="none"/>
                <w:lang w:val="en-US" w:eastAsia="zh-CN" w:bidi="ar"/>
              </w:rPr>
              <w:t>街道</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山</w:t>
            </w:r>
            <w:r>
              <w:rPr>
                <w:rFonts w:hint="eastAsia" w:ascii="仿宋_GB2312" w:hAnsi="仿宋_GB2312" w:eastAsia="仿宋_GB2312" w:cs="仿宋_GB2312"/>
                <w:i w:val="0"/>
                <w:color w:val="auto"/>
                <w:kern w:val="0"/>
                <w:sz w:val="20"/>
                <w:szCs w:val="20"/>
                <w:highlight w:val="none"/>
                <w:u w:val="none"/>
                <w:lang w:val="en-US" w:eastAsia="zh-CN" w:bidi="ar"/>
              </w:rPr>
              <w:t>美中心学校扩建项目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2020-2022</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62</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高州市第二小学扩建</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4800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63</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tLeast"/>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高州市石鼓镇黑</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坭</w:t>
            </w:r>
            <w:r>
              <w:rPr>
                <w:rFonts w:hint="eastAsia" w:ascii="仿宋_GB2312" w:hAnsi="仿宋_GB2312" w:eastAsia="仿宋_GB2312" w:cs="仿宋_GB2312"/>
                <w:i w:val="0"/>
                <w:color w:val="auto"/>
                <w:kern w:val="0"/>
                <w:sz w:val="20"/>
                <w:szCs w:val="20"/>
                <w:highlight w:val="none"/>
                <w:u w:val="none"/>
                <w:lang w:val="en-US" w:eastAsia="zh-CN" w:bidi="ar"/>
              </w:rPr>
              <w:t>山小学（石鼓三小）扩建</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tLeast"/>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2020-</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64</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榭</w:t>
            </w:r>
            <w:r>
              <w:rPr>
                <w:rFonts w:hint="eastAsia" w:ascii="仿宋_GB2312" w:hAnsi="仿宋_GB2312" w:eastAsia="仿宋_GB2312" w:cs="仿宋_GB2312"/>
                <w:i w:val="0"/>
                <w:color w:val="auto"/>
                <w:kern w:val="0"/>
                <w:sz w:val="20"/>
                <w:szCs w:val="20"/>
                <w:highlight w:val="none"/>
                <w:u w:val="none"/>
                <w:lang w:val="en-US" w:eastAsia="zh-CN" w:bidi="ar"/>
              </w:rPr>
              <w:t>村小学迁建</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迁建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9990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65</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高州市宝光街道西岸</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中心学校迁建项目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迁建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2023</w:t>
            </w:r>
            <w:r>
              <w:rPr>
                <w:rFonts w:hint="eastAsia" w:ascii="仿宋_GB2312" w:hAnsi="仿宋_GB2312" w:eastAsia="仿宋_GB2312" w:cs="仿宋_GB2312"/>
                <w:i w:val="0"/>
                <w:color w:val="auto"/>
                <w:kern w:val="0"/>
                <w:sz w:val="20"/>
                <w:szCs w:val="20"/>
                <w:highlight w:val="none"/>
                <w:u w:val="none"/>
                <w:lang w:val="en-US" w:eastAsia="zh-CN" w:bidi="ar"/>
              </w:rPr>
              <w:t>-2025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7990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66</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石鼓镇南</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茂</w:t>
            </w:r>
            <w:r>
              <w:rPr>
                <w:rFonts w:hint="eastAsia" w:ascii="仿宋_GB2312" w:hAnsi="仿宋_GB2312" w:eastAsia="仿宋_GB2312" w:cs="仿宋_GB2312"/>
                <w:i w:val="0"/>
                <w:color w:val="auto"/>
                <w:kern w:val="0"/>
                <w:sz w:val="20"/>
                <w:szCs w:val="20"/>
                <w:highlight w:val="none"/>
                <w:u w:val="none"/>
                <w:lang w:val="en-US" w:eastAsia="zh-CN" w:bidi="ar"/>
              </w:rPr>
              <w:t>坡小学迁建项目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迁建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67</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石</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仔岭</w:t>
            </w:r>
            <w:r>
              <w:rPr>
                <w:rFonts w:hint="eastAsia" w:ascii="仿宋_GB2312" w:hAnsi="仿宋_GB2312" w:eastAsia="仿宋_GB2312" w:cs="仿宋_GB2312"/>
                <w:i w:val="0"/>
                <w:color w:val="auto"/>
                <w:kern w:val="0"/>
                <w:sz w:val="20"/>
                <w:szCs w:val="20"/>
                <w:highlight w:val="none"/>
                <w:u w:val="none"/>
                <w:lang w:val="en-US" w:eastAsia="zh-CN" w:bidi="ar"/>
              </w:rPr>
              <w:t>街道</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坡</w:t>
            </w:r>
            <w:r>
              <w:rPr>
                <w:rFonts w:hint="eastAsia" w:ascii="仿宋_GB2312" w:hAnsi="仿宋_GB2312" w:eastAsia="仿宋_GB2312" w:cs="仿宋_GB2312"/>
                <w:i w:val="0"/>
                <w:color w:val="auto"/>
                <w:kern w:val="0"/>
                <w:sz w:val="20"/>
                <w:szCs w:val="20"/>
                <w:highlight w:val="none"/>
                <w:u w:val="none"/>
                <w:lang w:val="en-US" w:eastAsia="zh-CN" w:bidi="ar"/>
              </w:rPr>
              <w:t>心小学</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扩建项目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2022-2025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68</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高州市第五小学建设</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69</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高州市第四小学（原茂岭小学）扩建项目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2"/>
                <w:sz w:val="20"/>
                <w:szCs w:val="20"/>
                <w:highlight w:val="none"/>
                <w:u w:val="none"/>
                <w:lang w:val="en-US" w:eastAsia="zh-CN" w:bidi="ar-SA"/>
              </w:rPr>
              <w:t>70</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城东小学</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建设项目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2023</w:t>
            </w:r>
            <w:r>
              <w:rPr>
                <w:rFonts w:hint="eastAsia" w:ascii="仿宋_GB2312" w:hAnsi="仿宋_GB2312" w:eastAsia="仿宋_GB2312" w:cs="仿宋_GB2312"/>
                <w:i w:val="0"/>
                <w:color w:val="auto"/>
                <w:kern w:val="0"/>
                <w:sz w:val="20"/>
                <w:szCs w:val="20"/>
                <w:highlight w:val="none"/>
                <w:u w:val="none"/>
                <w:lang w:val="en-US" w:eastAsia="zh-CN" w:bidi="ar"/>
              </w:rPr>
              <w:t>-2025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2"/>
                <w:sz w:val="20"/>
                <w:szCs w:val="20"/>
                <w:highlight w:val="none"/>
                <w:u w:val="none"/>
                <w:lang w:val="en-US" w:eastAsia="zh-CN" w:bidi="ar-SA"/>
              </w:rPr>
              <w:t>71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高州市金阳学校迁建</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民办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迁建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2022-2025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9500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8040" w:type="dxa"/>
            <w:gridSpan w:val="16"/>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合计</w:t>
            </w:r>
          </w:p>
        </w:tc>
        <w:tc>
          <w:tcPr>
            <w:tcW w:w="124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828125.98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9287" w:type="dxa"/>
            <w:gridSpan w:val="1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b/>
                <w:bCs/>
                <w:i w:val="0"/>
                <w:color w:val="auto"/>
                <w:kern w:val="0"/>
                <w:sz w:val="28"/>
                <w:szCs w:val="28"/>
                <w:highlight w:val="none"/>
                <w:u w:val="none"/>
                <w:lang w:val="en-US" w:eastAsia="zh-CN" w:bidi="ar"/>
              </w:rPr>
              <w:t>普通高中项目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序号</w:t>
            </w:r>
          </w:p>
        </w:tc>
        <w:tc>
          <w:tcPr>
            <w:tcW w:w="1315"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区（县级市）</w:t>
            </w:r>
          </w:p>
        </w:tc>
        <w:tc>
          <w:tcPr>
            <w:tcW w:w="2328"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项目名称</w:t>
            </w:r>
          </w:p>
        </w:tc>
        <w:tc>
          <w:tcPr>
            <w:tcW w:w="1038" w:type="dxa"/>
            <w:gridSpan w:val="5"/>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办学性质</w:t>
            </w:r>
          </w:p>
        </w:tc>
        <w:tc>
          <w:tcPr>
            <w:tcW w:w="1255"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建设类型</w:t>
            </w:r>
          </w:p>
        </w:tc>
        <w:tc>
          <w:tcPr>
            <w:tcW w:w="1592"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起止年限</w:t>
            </w:r>
          </w:p>
        </w:tc>
        <w:tc>
          <w:tcPr>
            <w:tcW w:w="124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kern w:val="0"/>
                <w:sz w:val="20"/>
                <w:szCs w:val="20"/>
                <w:highlight w:val="none"/>
                <w:u w:val="none"/>
                <w:lang w:val="en-US" w:eastAsia="zh-CN" w:bidi="ar"/>
              </w:rPr>
            </w:pPr>
            <w:r>
              <w:rPr>
                <w:rFonts w:hint="eastAsia" w:ascii="仿宋_GB2312" w:hAnsi="仿宋_GB2312" w:eastAsia="仿宋_GB2312" w:cs="仿宋_GB2312"/>
                <w:b/>
                <w:i w:val="0"/>
                <w:color w:val="auto"/>
                <w:kern w:val="0"/>
                <w:sz w:val="20"/>
                <w:szCs w:val="20"/>
                <w:highlight w:val="none"/>
                <w:u w:val="none"/>
                <w:lang w:val="en-US" w:eastAsia="zh-CN" w:bidi="ar"/>
              </w:rPr>
              <w:t>总投入</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市直属</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广东实验中学</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附属茂名</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中学（高中部）</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50000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市直属</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茂名市田家炳中学综合</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教学楼建设项目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eastAsia="zh-CN"/>
              </w:rPr>
            </w:pPr>
            <w:r>
              <w:rPr>
                <w:rFonts w:hint="eastAsia" w:ascii="仿宋_GB2312" w:hAnsi="仿宋_GB2312" w:eastAsia="仿宋_GB2312" w:cs="仿宋_GB2312"/>
                <w:i w:val="0"/>
                <w:color w:val="auto"/>
                <w:sz w:val="20"/>
                <w:szCs w:val="20"/>
                <w:highlight w:val="none"/>
                <w:u w:val="none"/>
                <w:shd w:val="clear" w:color="auto" w:fill="auto"/>
                <w:lang w:eastAsia="zh-CN"/>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18287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茂南区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茂名市第五中学新建</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教学楼工程</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9975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4</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华南师范大学</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附属电白学校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民办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2019-2023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150000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5</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华育实验学校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民办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电白区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杨梅寄宿学校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民办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7</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240" w:lineRule="atLeast"/>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冼太夫人纪念中学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80000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8</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华南师范大学附属</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滨海学校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民办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139000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9</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高新区</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高新区七</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迳</w:t>
            </w:r>
            <w:r>
              <w:rPr>
                <w:rFonts w:hint="eastAsia" w:ascii="仿宋_GB2312" w:hAnsi="仿宋_GB2312" w:eastAsia="仿宋_GB2312" w:cs="仿宋_GB2312"/>
                <w:i w:val="0"/>
                <w:color w:val="auto"/>
                <w:kern w:val="0"/>
                <w:sz w:val="20"/>
                <w:szCs w:val="20"/>
                <w:highlight w:val="none"/>
                <w:u w:val="none"/>
                <w:lang w:val="en-US" w:eastAsia="zh-CN" w:bidi="ar"/>
              </w:rPr>
              <w:t>中学增设</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高中部</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10</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信宜中学综合大楼</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2020-2021</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7776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11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信宜砺儒中学综合楼</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5800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12</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罗江中学</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13</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化州一中（杨梅）</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临空校区</w:t>
            </w:r>
          </w:p>
        </w:tc>
        <w:tc>
          <w:tcPr>
            <w:tcW w:w="103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14</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化州市</w:t>
            </w:r>
          </w:p>
        </w:tc>
        <w:tc>
          <w:tcPr>
            <w:tcW w:w="232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rPr>
              <w:t>官桥中学</w:t>
            </w:r>
          </w:p>
        </w:tc>
        <w:tc>
          <w:tcPr>
            <w:tcW w:w="103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sz w:val="20"/>
                <w:szCs w:val="20"/>
                <w:highlight w:val="none"/>
                <w:u w:val="none"/>
                <w:lang w:val="en-US" w:eastAsia="zh-CN"/>
              </w:rPr>
              <w:t>公办</w:t>
            </w:r>
          </w:p>
        </w:tc>
        <w:tc>
          <w:tcPr>
            <w:tcW w:w="12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改扩建</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15</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化州青鸟实验学校</w:t>
            </w:r>
          </w:p>
        </w:tc>
        <w:tc>
          <w:tcPr>
            <w:tcW w:w="103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民办</w:t>
            </w:r>
          </w:p>
        </w:tc>
        <w:tc>
          <w:tcPr>
            <w:tcW w:w="12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2019-2023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80000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16</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潘</w:t>
            </w:r>
            <w:r>
              <w:rPr>
                <w:rFonts w:hint="eastAsia" w:ascii="仿宋_GB2312" w:hAnsi="仿宋_GB2312" w:eastAsia="仿宋_GB2312" w:cs="仿宋_GB2312"/>
                <w:i w:val="0"/>
                <w:color w:val="auto"/>
                <w:kern w:val="0"/>
                <w:sz w:val="20"/>
                <w:szCs w:val="20"/>
                <w:highlight w:val="none"/>
                <w:u w:val="none"/>
                <w:lang w:val="en-US" w:eastAsia="zh-CN" w:bidi="ar"/>
              </w:rPr>
              <w:t>州中学</w:t>
            </w:r>
          </w:p>
        </w:tc>
        <w:tc>
          <w:tcPr>
            <w:tcW w:w="103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2023-2025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46000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17</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华南师范大学</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附属高州学校</w:t>
            </w:r>
          </w:p>
        </w:tc>
        <w:tc>
          <w:tcPr>
            <w:tcW w:w="103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民办</w:t>
            </w:r>
          </w:p>
        </w:tc>
        <w:tc>
          <w:tcPr>
            <w:tcW w:w="12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80000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18</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高州市第八中学迁建</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项目</w:t>
            </w:r>
          </w:p>
        </w:tc>
        <w:tc>
          <w:tcPr>
            <w:tcW w:w="103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4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迁建</w:t>
            </w:r>
          </w:p>
        </w:tc>
        <w:tc>
          <w:tcPr>
            <w:tcW w:w="160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2"/>
                <w:sz w:val="20"/>
                <w:szCs w:val="20"/>
                <w:highlight w:val="none"/>
                <w:u w:val="none"/>
                <w:lang w:val="en-US" w:eastAsia="zh-CN" w:bidi="ar-SA"/>
              </w:rPr>
            </w:pPr>
            <w:r>
              <w:rPr>
                <w:rFonts w:hint="eastAsia" w:ascii="仿宋_GB2312" w:hAnsi="仿宋_GB2312" w:eastAsia="仿宋_GB2312" w:cs="仿宋_GB2312"/>
                <w:i w:val="0"/>
                <w:color w:val="auto"/>
                <w:kern w:val="0"/>
                <w:sz w:val="20"/>
                <w:szCs w:val="20"/>
                <w:highlight w:val="none"/>
                <w:u w:val="none"/>
                <w:lang w:val="en-US" w:eastAsia="zh-CN" w:bidi="ar"/>
              </w:rPr>
              <w:t>2022-2025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29650.65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8040" w:type="dxa"/>
            <w:gridSpan w:val="16"/>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合计</w:t>
            </w:r>
          </w:p>
        </w:tc>
        <w:tc>
          <w:tcPr>
            <w:tcW w:w="124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rPr>
            </w:pPr>
            <w:r>
              <w:rPr>
                <w:rFonts w:hint="eastAsia" w:ascii="仿宋_GB2312" w:hAnsi="仿宋_GB2312" w:eastAsia="仿宋_GB2312" w:cs="仿宋_GB2312"/>
                <w:i w:val="0"/>
                <w:color w:val="auto"/>
                <w:kern w:val="0"/>
                <w:sz w:val="20"/>
                <w:szCs w:val="20"/>
                <w:highlight w:val="none"/>
                <w:u w:val="none"/>
                <w:lang w:val="en-US" w:eastAsia="zh-CN" w:bidi="ar"/>
              </w:rPr>
              <w:t>822888.65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9287" w:type="dxa"/>
            <w:gridSpan w:val="1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b/>
                <w:bCs/>
                <w:i w:val="0"/>
                <w:color w:val="auto"/>
                <w:kern w:val="0"/>
                <w:sz w:val="28"/>
                <w:szCs w:val="28"/>
                <w:highlight w:val="none"/>
                <w:u w:val="none"/>
                <w:lang w:val="en-US" w:eastAsia="zh-CN" w:bidi="ar"/>
              </w:rPr>
              <w:t>中职项目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512"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序号</w:t>
            </w:r>
          </w:p>
        </w:tc>
        <w:tc>
          <w:tcPr>
            <w:tcW w:w="1315"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区（县级市）</w:t>
            </w:r>
          </w:p>
        </w:tc>
        <w:tc>
          <w:tcPr>
            <w:tcW w:w="2328"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项目名称</w:t>
            </w:r>
          </w:p>
        </w:tc>
        <w:tc>
          <w:tcPr>
            <w:tcW w:w="1038" w:type="dxa"/>
            <w:gridSpan w:val="5"/>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办学性质</w:t>
            </w:r>
          </w:p>
        </w:tc>
        <w:tc>
          <w:tcPr>
            <w:tcW w:w="1255"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建设类型</w:t>
            </w:r>
          </w:p>
        </w:tc>
        <w:tc>
          <w:tcPr>
            <w:tcW w:w="1592"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起止年限</w:t>
            </w:r>
          </w:p>
        </w:tc>
        <w:tc>
          <w:tcPr>
            <w:tcW w:w="124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kern w:val="0"/>
                <w:sz w:val="20"/>
                <w:szCs w:val="20"/>
                <w:highlight w:val="none"/>
                <w:u w:val="none"/>
                <w:lang w:val="en-US" w:eastAsia="zh-CN" w:bidi="ar"/>
              </w:rPr>
            </w:pPr>
            <w:r>
              <w:rPr>
                <w:rFonts w:hint="eastAsia" w:ascii="仿宋_GB2312" w:hAnsi="仿宋_GB2312" w:eastAsia="仿宋_GB2312" w:cs="仿宋_GB2312"/>
                <w:b/>
                <w:i w:val="0"/>
                <w:color w:val="auto"/>
                <w:kern w:val="0"/>
                <w:sz w:val="20"/>
                <w:szCs w:val="20"/>
                <w:highlight w:val="none"/>
                <w:u w:val="none"/>
                <w:lang w:val="en-US" w:eastAsia="zh-CN" w:bidi="ar"/>
              </w:rPr>
              <w:t>总投入</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市直属</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茂名市第一职业技术学校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13398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市直属</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茂名市第二职业技术学校综合实训楼建设项目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12877.2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3</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sz w:val="20"/>
                <w:szCs w:val="20"/>
                <w:highlight w:val="none"/>
                <w:lang w:eastAsia="zh-CN"/>
              </w:rPr>
              <w:t>市直属</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adjustRightInd w:val="0"/>
              <w:snapToGrid w:val="0"/>
              <w:jc w:val="both"/>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sz w:val="20"/>
                <w:szCs w:val="20"/>
                <w:highlight w:val="none"/>
                <w:lang w:eastAsia="zh-CN"/>
              </w:rPr>
              <w:t>茂名市南方职业技术学校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sz w:val="20"/>
                <w:szCs w:val="20"/>
                <w:highlight w:val="none"/>
                <w:lang w:eastAsia="zh-CN"/>
              </w:rPr>
              <w:t>民办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sz w:val="20"/>
                <w:szCs w:val="20"/>
                <w:highlight w:val="none"/>
                <w:lang w:eastAsia="zh-CN"/>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sz w:val="20"/>
                <w:szCs w:val="20"/>
                <w:highlight w:val="none"/>
                <w:lang w:val="en-US" w:eastAsia="zh-CN"/>
              </w:rPr>
              <w:t>2022-2025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color w:val="auto"/>
                <w:sz w:val="20"/>
                <w:szCs w:val="20"/>
                <w:highlight w:val="none"/>
                <w:lang w:val="en-US" w:eastAsia="zh-CN"/>
              </w:rPr>
              <w:t>26500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4</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信宜市职业技术学校实训楼3</w:t>
            </w:r>
            <w:r>
              <w:rPr>
                <w:rStyle w:val="19"/>
                <w:rFonts w:hint="eastAsia" w:ascii="仿宋_GB2312" w:hAnsi="仿宋_GB2312" w:eastAsia="仿宋_GB2312" w:cs="仿宋_GB2312"/>
                <w:color w:val="auto"/>
                <w:sz w:val="20"/>
                <w:szCs w:val="20"/>
                <w:highlight w:val="none"/>
                <w:lang w:val="en-US" w:eastAsia="zh-CN" w:bidi="ar"/>
              </w:rPr>
              <w:t>及配套设备设施</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5</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信宜市玉都职业技术学校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40000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钱排</w:t>
            </w:r>
            <w:r>
              <w:rPr>
                <w:rFonts w:hint="eastAsia" w:ascii="仿宋_GB2312" w:hAnsi="仿宋_GB2312" w:eastAsia="仿宋_GB2312" w:cs="仿宋_GB2312"/>
                <w:i w:val="0"/>
                <w:color w:val="auto"/>
                <w:kern w:val="0"/>
                <w:sz w:val="20"/>
                <w:szCs w:val="20"/>
                <w:highlight w:val="none"/>
                <w:u w:val="none"/>
                <w:lang w:val="en-US" w:eastAsia="zh-CN" w:bidi="ar"/>
              </w:rPr>
              <w:t>职业技术学校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2022-2024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7</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信宜市职业技术学校</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体育馆</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2024-2025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9100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8</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化州市职业技术学校</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迁建二期</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2021-2024</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12875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9</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粤西职业技术学校</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85000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10</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化州市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广东冼夫人女子职业学院</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28000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lang w:val="en-US" w:eastAsia="zh-CN"/>
              </w:rPr>
            </w:pPr>
            <w:r>
              <w:rPr>
                <w:rFonts w:hint="eastAsia" w:ascii="仿宋_GB2312" w:hAnsi="仿宋_GB2312" w:eastAsia="仿宋_GB2312" w:cs="仿宋_GB2312"/>
                <w:i w:val="0"/>
                <w:color w:val="auto"/>
                <w:sz w:val="20"/>
                <w:szCs w:val="20"/>
                <w:highlight w:val="none"/>
                <w:u w:val="none"/>
                <w:lang w:val="en-US" w:eastAsia="zh-CN"/>
              </w:rPr>
              <w:t>11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高州市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高州市第一职业技术</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学</w:t>
            </w:r>
            <w:r>
              <w:rPr>
                <w:rFonts w:hint="eastAsia" w:ascii="仿宋_GB2312" w:hAnsi="仿宋_GB2312" w:eastAsia="仿宋_GB2312" w:cs="仿宋_GB2312"/>
                <w:i w:val="0"/>
                <w:color w:val="auto"/>
                <w:kern w:val="0"/>
                <w:sz w:val="20"/>
                <w:szCs w:val="20"/>
                <w:highlight w:val="none"/>
                <w:u w:val="none"/>
                <w:shd w:val="clear" w:color="auto" w:fill="auto"/>
                <w:lang w:val="en-US" w:eastAsia="zh-CN" w:bidi="ar"/>
              </w:rPr>
              <w:t>校扩容提升工程</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20916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8040" w:type="dxa"/>
            <w:gridSpan w:val="16"/>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合计</w:t>
            </w:r>
          </w:p>
        </w:tc>
        <w:tc>
          <w:tcPr>
            <w:tcW w:w="124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271066.2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9287" w:type="dxa"/>
            <w:gridSpan w:val="1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b/>
                <w:bCs/>
                <w:i w:val="0"/>
                <w:color w:val="auto"/>
                <w:kern w:val="0"/>
                <w:sz w:val="28"/>
                <w:szCs w:val="28"/>
                <w:highlight w:val="none"/>
                <w:u w:val="none"/>
                <w:lang w:val="en-US" w:eastAsia="zh-CN" w:bidi="ar"/>
              </w:rPr>
              <w:t>高等教育项目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序号</w:t>
            </w:r>
          </w:p>
        </w:tc>
        <w:tc>
          <w:tcPr>
            <w:tcW w:w="1315"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区（县级市）</w:t>
            </w:r>
          </w:p>
        </w:tc>
        <w:tc>
          <w:tcPr>
            <w:tcW w:w="2328"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项目名称</w:t>
            </w:r>
          </w:p>
        </w:tc>
        <w:tc>
          <w:tcPr>
            <w:tcW w:w="1038" w:type="dxa"/>
            <w:gridSpan w:val="5"/>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办学性质</w:t>
            </w:r>
          </w:p>
        </w:tc>
        <w:tc>
          <w:tcPr>
            <w:tcW w:w="1255" w:type="dxa"/>
            <w:gridSpan w:val="3"/>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建设类型</w:t>
            </w:r>
          </w:p>
        </w:tc>
        <w:tc>
          <w:tcPr>
            <w:tcW w:w="1592"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起止年限</w:t>
            </w:r>
          </w:p>
        </w:tc>
        <w:tc>
          <w:tcPr>
            <w:tcW w:w="124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kern w:val="0"/>
                <w:sz w:val="20"/>
                <w:szCs w:val="20"/>
                <w:highlight w:val="none"/>
                <w:u w:val="none"/>
                <w:lang w:val="en-US" w:eastAsia="zh-CN" w:bidi="ar"/>
              </w:rPr>
            </w:pPr>
            <w:r>
              <w:rPr>
                <w:rFonts w:hint="eastAsia" w:ascii="仿宋_GB2312" w:hAnsi="仿宋_GB2312" w:eastAsia="仿宋_GB2312" w:cs="仿宋_GB2312"/>
                <w:b/>
                <w:i w:val="0"/>
                <w:color w:val="auto"/>
                <w:kern w:val="0"/>
                <w:sz w:val="20"/>
                <w:szCs w:val="20"/>
                <w:highlight w:val="none"/>
                <w:u w:val="none"/>
                <w:lang w:val="en-US" w:eastAsia="zh-CN" w:bidi="ar"/>
              </w:rPr>
              <w:t>总投入</w:t>
            </w:r>
          </w:p>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茂名市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茂名职业技术学院新校区建设项目（二期）</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2017-2025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64576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茂名市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广东茂名健康职业学院二期建设（先建部分）项目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2020-2023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40858.8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茂名市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广东茂名幼儿师范专科学校二期建设项目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2020-2023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62602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4</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茂名市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广东石油化工学院西城校区二期建设项目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167400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5</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茂名市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广东茂名健康职业学院二期建设（先建部分）配套工程及设备项目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新建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2021-2022</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15586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6</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茂名市</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广东茂名农林科技职业学院扩建工程项目</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公办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2021-2025</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35866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7</w:t>
            </w:r>
          </w:p>
        </w:tc>
        <w:tc>
          <w:tcPr>
            <w:tcW w:w="131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电白区（水东湾新城）</w:t>
            </w:r>
          </w:p>
        </w:tc>
        <w:tc>
          <w:tcPr>
            <w:tcW w:w="232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广州科技职业技术大学滨海校区二期</w:t>
            </w:r>
          </w:p>
        </w:tc>
        <w:tc>
          <w:tcPr>
            <w:tcW w:w="1038"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民办</w:t>
            </w:r>
          </w:p>
        </w:tc>
        <w:tc>
          <w:tcPr>
            <w:tcW w:w="125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扩建</w:t>
            </w:r>
          </w:p>
        </w:tc>
        <w:tc>
          <w:tcPr>
            <w:tcW w:w="159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2022-2023</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color w:val="auto"/>
                <w:kern w:val="0"/>
                <w:sz w:val="20"/>
                <w:szCs w:val="20"/>
                <w:highlight w:val="none"/>
                <w:u w:val="none"/>
                <w:lang w:val="en-US" w:eastAsia="zh-CN" w:bidi="ar"/>
              </w:rPr>
              <w:t>120000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8040" w:type="dxa"/>
            <w:gridSpan w:val="1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b/>
                <w:i w:val="0"/>
                <w:color w:val="auto"/>
                <w:sz w:val="20"/>
                <w:szCs w:val="20"/>
                <w:highlight w:val="none"/>
                <w:u w:val="none"/>
              </w:rPr>
            </w:pPr>
            <w:r>
              <w:rPr>
                <w:rFonts w:hint="eastAsia" w:ascii="仿宋_GB2312" w:hAnsi="仿宋_GB2312" w:eastAsia="仿宋_GB2312" w:cs="仿宋_GB2312"/>
                <w:b/>
                <w:i w:val="0"/>
                <w:color w:val="auto"/>
                <w:kern w:val="0"/>
                <w:sz w:val="20"/>
                <w:szCs w:val="20"/>
                <w:highlight w:val="none"/>
                <w:u w:val="none"/>
                <w:lang w:val="en-US" w:eastAsia="zh-CN" w:bidi="ar"/>
              </w:rPr>
              <w:t>合计</w:t>
            </w:r>
          </w:p>
        </w:tc>
        <w:tc>
          <w:tcPr>
            <w:tcW w:w="12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shd w:val="clear" w:color="auto" w:fill="auto"/>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color w:val="auto"/>
                <w:kern w:val="0"/>
                <w:sz w:val="20"/>
                <w:szCs w:val="20"/>
                <w:highlight w:val="none"/>
                <w:u w:val="none"/>
                <w:lang w:val="en-US" w:eastAsia="zh-CN" w:bidi="ar"/>
              </w:rPr>
            </w:pPr>
            <w:r>
              <w:rPr>
                <w:rFonts w:hint="eastAsia" w:ascii="仿宋_GB2312" w:hAnsi="仿宋_GB2312" w:eastAsia="仿宋_GB2312" w:cs="仿宋_GB2312"/>
                <w:i w:val="0"/>
                <w:color w:val="auto"/>
                <w:kern w:val="0"/>
                <w:sz w:val="20"/>
                <w:szCs w:val="20"/>
                <w:highlight w:val="none"/>
                <w:u w:val="none"/>
                <w:lang w:val="en-US" w:eastAsia="zh-CN" w:bidi="ar"/>
              </w:rPr>
              <w:t>506888.8</w:t>
            </w:r>
          </w:p>
        </w:tc>
      </w:tr>
    </w:tbl>
    <w:p>
      <w:pPr>
        <w:tabs>
          <w:tab w:val="left" w:pos="1090"/>
        </w:tabs>
        <w:bidi w:val="0"/>
        <w:jc w:val="left"/>
        <w:rPr>
          <w:rFonts w:hint="eastAsia" w:ascii="仿宋_GB2312" w:hAnsi="仿宋_GB2312" w:eastAsia="仿宋_GB2312" w:cs="仿宋_GB2312"/>
          <w:b/>
          <w:bCs/>
          <w:color w:val="auto"/>
          <w:kern w:val="2"/>
          <w:sz w:val="28"/>
          <w:szCs w:val="32"/>
          <w:lang w:val="en-US" w:eastAsia="zh-CN" w:bidi="ar-SA"/>
        </w:rPr>
      </w:pPr>
      <w:r>
        <w:rPr>
          <w:rFonts w:hint="eastAsia" w:ascii="仿宋_GB2312" w:hAnsi="仿宋_GB2312" w:eastAsia="仿宋_GB2312" w:cs="仿宋_GB2312"/>
          <w:b/>
          <w:bCs/>
          <w:color w:val="auto"/>
          <w:kern w:val="2"/>
          <w:sz w:val="28"/>
          <w:szCs w:val="32"/>
          <w:lang w:val="en-US" w:eastAsia="zh-CN" w:bidi="ar-SA"/>
        </w:rPr>
        <w:t>注：具体项目以实际审批为准。</w:t>
      </w:r>
    </w:p>
    <w:p>
      <w:pPr>
        <w:shd w:val="clear" w:color="auto" w:fil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附件3</w:t>
      </w:r>
    </w:p>
    <w:p>
      <w:pPr>
        <w:pStyle w:val="5"/>
        <w:shd w:val="clear" w:color="auto" w:fill="auto"/>
        <w:adjustRightInd w:val="0"/>
        <w:snapToGrid w:val="0"/>
        <w:spacing w:after="0" w:afterLines="0" w:line="660" w:lineRule="exact"/>
        <w:jc w:val="center"/>
        <w:outlineLvl w:val="0"/>
        <w:rPr>
          <w:rFonts w:ascii="Times New Roman" w:hAnsi="Times New Roman" w:eastAsia="方正小标宋简体" w:cs="Times New Roman"/>
          <w:color w:val="auto"/>
          <w:sz w:val="44"/>
          <w:szCs w:val="44"/>
          <w:highlight w:val="none"/>
          <w:lang w:eastAsia="zh-CN"/>
        </w:rPr>
      </w:pPr>
      <w:bookmarkStart w:id="107" w:name="_Toc2085872357_WPSOffice_Level1"/>
      <w:bookmarkStart w:id="108" w:name="_Toc98694823"/>
      <w:r>
        <w:rPr>
          <w:rFonts w:hint="eastAsia" w:ascii="方正小标宋简体" w:hAnsi="方正小标宋简体" w:eastAsia="方正小标宋简体" w:cs="方正小标宋简体"/>
          <w:color w:val="auto"/>
          <w:sz w:val="44"/>
          <w:szCs w:val="44"/>
          <w:highlight w:val="none"/>
          <w:lang w:eastAsia="zh-CN"/>
        </w:rPr>
        <w:t>“十四五”期间</w:t>
      </w:r>
      <w:r>
        <w:rPr>
          <w:rFonts w:ascii="Times New Roman" w:hAnsi="Times New Roman" w:eastAsia="方正小标宋简体" w:cs="Times New Roman"/>
          <w:color w:val="auto"/>
          <w:sz w:val="44"/>
          <w:szCs w:val="44"/>
          <w:highlight w:val="none"/>
          <w:lang w:eastAsia="zh-CN"/>
        </w:rPr>
        <w:t>基础教育公办学位建设任务表</w:t>
      </w:r>
      <w:bookmarkEnd w:id="107"/>
      <w:bookmarkEnd w:id="108"/>
    </w:p>
    <w:p>
      <w:pPr>
        <w:shd w:val="clear" w:color="auto" w:fill="auto"/>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单位：个</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261"/>
        <w:gridCol w:w="1727"/>
        <w:gridCol w:w="1627"/>
        <w:gridCol w:w="1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547" w:type="dxa"/>
            <w:noWrap w:val="0"/>
            <w:vAlign w:val="center"/>
          </w:tcPr>
          <w:p>
            <w:pPr>
              <w:shd w:val="clear" w:color="auto" w:fill="auto"/>
              <w:adjustRightInd w:val="0"/>
              <w:snapToGrid w:val="0"/>
              <w:spacing w:line="240" w:lineRule="atLeast"/>
              <w:jc w:val="center"/>
              <w:rPr>
                <w:rFonts w:hint="eastAsia" w:ascii="仿宋_GB2312" w:hAnsi="仿宋_GB2312" w:eastAsia="仿宋_GB2312" w:cs="仿宋_GB2312"/>
                <w:b/>
                <w:bCs/>
                <w:color w:val="auto"/>
                <w:sz w:val="24"/>
                <w:szCs w:val="24"/>
                <w:highlight w:val="none"/>
                <w:lang w:eastAsia="en-US"/>
              </w:rPr>
            </w:pPr>
            <w:r>
              <w:rPr>
                <w:rFonts w:hint="eastAsia" w:ascii="仿宋_GB2312" w:hAnsi="仿宋_GB2312" w:eastAsia="仿宋_GB2312" w:cs="仿宋_GB2312"/>
                <w:b/>
                <w:bCs/>
                <w:color w:val="auto"/>
                <w:sz w:val="24"/>
                <w:szCs w:val="24"/>
                <w:highlight w:val="none"/>
                <w:lang w:eastAsia="en-US"/>
              </w:rPr>
              <w:t>地</w:t>
            </w:r>
            <w:r>
              <w:rPr>
                <w:rFonts w:hint="eastAsia" w:ascii="仿宋_GB2312" w:hAnsi="仿宋_GB2312" w:eastAsia="仿宋_GB2312" w:cs="仿宋_GB2312"/>
                <w:b/>
                <w:bCs/>
                <w:color w:val="auto"/>
                <w:sz w:val="24"/>
                <w:szCs w:val="24"/>
                <w:highlight w:val="none"/>
                <w:lang w:val="en-US" w:eastAsia="zh-CN"/>
              </w:rPr>
              <w:t xml:space="preserve">  </w:t>
            </w:r>
            <w:r>
              <w:rPr>
                <w:rFonts w:hint="eastAsia" w:ascii="仿宋_GB2312" w:hAnsi="仿宋_GB2312" w:eastAsia="仿宋_GB2312" w:cs="仿宋_GB2312"/>
                <w:b/>
                <w:bCs/>
                <w:color w:val="auto"/>
                <w:sz w:val="24"/>
                <w:szCs w:val="24"/>
                <w:highlight w:val="none"/>
                <w:lang w:eastAsia="en-US"/>
              </w:rPr>
              <w:t>区</w:t>
            </w:r>
          </w:p>
        </w:tc>
        <w:tc>
          <w:tcPr>
            <w:tcW w:w="2261" w:type="dxa"/>
            <w:noWrap w:val="0"/>
            <w:vAlign w:val="center"/>
          </w:tcPr>
          <w:p>
            <w:pPr>
              <w:shd w:val="clear" w:color="auto" w:fill="auto"/>
              <w:adjustRightInd w:val="0"/>
              <w:snapToGrid w:val="0"/>
              <w:spacing w:line="240" w:lineRule="atLeast"/>
              <w:jc w:val="center"/>
              <w:rPr>
                <w:rFonts w:hint="eastAsia" w:ascii="仿宋_GB2312" w:hAnsi="仿宋_GB2312" w:eastAsia="仿宋_GB2312" w:cs="仿宋_GB2312"/>
                <w:b/>
                <w:bCs/>
                <w:color w:val="auto"/>
                <w:sz w:val="24"/>
                <w:szCs w:val="24"/>
                <w:highlight w:val="none"/>
                <w:lang w:eastAsia="en-US"/>
              </w:rPr>
            </w:pPr>
            <w:r>
              <w:rPr>
                <w:rFonts w:hint="eastAsia" w:ascii="仿宋_GB2312" w:hAnsi="仿宋_GB2312" w:eastAsia="仿宋_GB2312" w:cs="仿宋_GB2312"/>
                <w:b/>
                <w:bCs/>
                <w:color w:val="auto"/>
                <w:sz w:val="24"/>
                <w:szCs w:val="24"/>
                <w:highlight w:val="none"/>
                <w:lang w:eastAsia="en-US"/>
              </w:rPr>
              <w:t>学前教育</w:t>
            </w:r>
          </w:p>
          <w:p>
            <w:pPr>
              <w:shd w:val="clear" w:color="auto" w:fill="auto"/>
              <w:adjustRightInd w:val="0"/>
              <w:snapToGrid w:val="0"/>
              <w:spacing w:line="240" w:lineRule="atLeast"/>
              <w:jc w:val="center"/>
              <w:rPr>
                <w:rFonts w:hint="eastAsia" w:ascii="仿宋_GB2312" w:hAnsi="仿宋_GB2312" w:eastAsia="仿宋_GB2312" w:cs="仿宋_GB2312"/>
                <w:b/>
                <w:bCs/>
                <w:color w:val="auto"/>
                <w:sz w:val="24"/>
                <w:szCs w:val="24"/>
                <w:highlight w:val="none"/>
                <w:lang w:eastAsia="en-US"/>
              </w:rPr>
            </w:pPr>
            <w:r>
              <w:rPr>
                <w:rFonts w:hint="eastAsia" w:ascii="仿宋_GB2312" w:hAnsi="仿宋_GB2312" w:eastAsia="仿宋_GB2312" w:cs="仿宋_GB2312"/>
                <w:b/>
                <w:bCs/>
                <w:color w:val="auto"/>
                <w:sz w:val="24"/>
                <w:szCs w:val="24"/>
                <w:highlight w:val="none"/>
                <w:lang w:eastAsia="en-US"/>
              </w:rPr>
              <w:t>（不含购买学位）</w:t>
            </w:r>
          </w:p>
        </w:tc>
        <w:tc>
          <w:tcPr>
            <w:tcW w:w="1727" w:type="dxa"/>
            <w:noWrap w:val="0"/>
            <w:vAlign w:val="center"/>
          </w:tcPr>
          <w:p>
            <w:pPr>
              <w:shd w:val="clear" w:color="auto" w:fill="auto"/>
              <w:adjustRightInd w:val="0"/>
              <w:snapToGrid w:val="0"/>
              <w:spacing w:line="240" w:lineRule="atLeast"/>
              <w:jc w:val="center"/>
              <w:rPr>
                <w:rFonts w:hint="eastAsia" w:ascii="仿宋_GB2312" w:hAnsi="仿宋_GB2312" w:eastAsia="仿宋_GB2312" w:cs="仿宋_GB2312"/>
                <w:b/>
                <w:bCs/>
                <w:color w:val="auto"/>
                <w:sz w:val="24"/>
                <w:szCs w:val="24"/>
                <w:highlight w:val="none"/>
                <w:lang w:eastAsia="en-US"/>
              </w:rPr>
            </w:pPr>
            <w:r>
              <w:rPr>
                <w:rFonts w:hint="eastAsia" w:ascii="仿宋_GB2312" w:hAnsi="仿宋_GB2312" w:eastAsia="仿宋_GB2312" w:cs="仿宋_GB2312"/>
                <w:b/>
                <w:bCs/>
                <w:color w:val="auto"/>
                <w:sz w:val="24"/>
                <w:szCs w:val="24"/>
                <w:highlight w:val="none"/>
                <w:lang w:eastAsia="en-US"/>
              </w:rPr>
              <w:t>义务教育</w:t>
            </w:r>
          </w:p>
        </w:tc>
        <w:tc>
          <w:tcPr>
            <w:tcW w:w="1627" w:type="dxa"/>
            <w:noWrap w:val="0"/>
            <w:vAlign w:val="center"/>
          </w:tcPr>
          <w:p>
            <w:pPr>
              <w:shd w:val="clear" w:color="auto" w:fill="auto"/>
              <w:adjustRightInd w:val="0"/>
              <w:snapToGrid w:val="0"/>
              <w:spacing w:line="240" w:lineRule="atLeast"/>
              <w:jc w:val="center"/>
              <w:rPr>
                <w:rFonts w:hint="eastAsia" w:ascii="仿宋_GB2312" w:hAnsi="仿宋_GB2312" w:eastAsia="仿宋_GB2312" w:cs="仿宋_GB2312"/>
                <w:b/>
                <w:bCs/>
                <w:color w:val="auto"/>
                <w:sz w:val="24"/>
                <w:szCs w:val="24"/>
                <w:highlight w:val="none"/>
                <w:lang w:eastAsia="en-US"/>
              </w:rPr>
            </w:pPr>
            <w:r>
              <w:rPr>
                <w:rFonts w:hint="eastAsia" w:ascii="仿宋_GB2312" w:hAnsi="仿宋_GB2312" w:eastAsia="仿宋_GB2312" w:cs="仿宋_GB2312"/>
                <w:b/>
                <w:bCs/>
                <w:color w:val="auto"/>
                <w:sz w:val="24"/>
                <w:szCs w:val="24"/>
                <w:highlight w:val="none"/>
                <w:lang w:eastAsia="en-US"/>
              </w:rPr>
              <w:t>普通高中</w:t>
            </w:r>
          </w:p>
        </w:tc>
        <w:tc>
          <w:tcPr>
            <w:tcW w:w="1893" w:type="dxa"/>
            <w:noWrap w:val="0"/>
            <w:vAlign w:val="center"/>
          </w:tcPr>
          <w:p>
            <w:pPr>
              <w:shd w:val="clear" w:color="auto" w:fill="auto"/>
              <w:adjustRightInd w:val="0"/>
              <w:snapToGrid w:val="0"/>
              <w:spacing w:line="240" w:lineRule="atLeast"/>
              <w:jc w:val="center"/>
              <w:rPr>
                <w:rFonts w:hint="eastAsia" w:ascii="仿宋_GB2312" w:hAnsi="仿宋_GB2312" w:eastAsia="仿宋_GB2312" w:cs="仿宋_GB2312"/>
                <w:b/>
                <w:bCs/>
                <w:color w:val="auto"/>
                <w:sz w:val="24"/>
                <w:szCs w:val="24"/>
                <w:highlight w:val="none"/>
                <w:lang w:eastAsia="en-US"/>
              </w:rPr>
            </w:pPr>
            <w:r>
              <w:rPr>
                <w:rFonts w:hint="eastAsia" w:ascii="仿宋_GB2312" w:hAnsi="仿宋_GB2312" w:eastAsia="仿宋_GB2312" w:cs="仿宋_GB2312"/>
                <w:b/>
                <w:bCs/>
                <w:color w:val="auto"/>
                <w:sz w:val="24"/>
                <w:szCs w:val="24"/>
                <w:highlight w:val="none"/>
                <w:lang w:eastAsia="en-US"/>
              </w:rPr>
              <w:t>基础教育阶段需增加公办</w:t>
            </w:r>
          </w:p>
          <w:p>
            <w:pPr>
              <w:shd w:val="clear" w:color="auto" w:fill="auto"/>
              <w:adjustRightInd w:val="0"/>
              <w:snapToGrid w:val="0"/>
              <w:spacing w:line="240" w:lineRule="atLeast"/>
              <w:jc w:val="center"/>
              <w:rPr>
                <w:rFonts w:hint="eastAsia" w:ascii="仿宋_GB2312" w:hAnsi="仿宋_GB2312" w:eastAsia="仿宋_GB2312" w:cs="仿宋_GB2312"/>
                <w:b/>
                <w:bCs/>
                <w:color w:val="auto"/>
                <w:sz w:val="24"/>
                <w:szCs w:val="24"/>
                <w:highlight w:val="none"/>
                <w:lang w:eastAsia="en-US"/>
              </w:rPr>
            </w:pPr>
            <w:r>
              <w:rPr>
                <w:rFonts w:hint="eastAsia" w:ascii="仿宋_GB2312" w:hAnsi="仿宋_GB2312" w:eastAsia="仿宋_GB2312" w:cs="仿宋_GB2312"/>
                <w:b/>
                <w:bCs/>
                <w:color w:val="auto"/>
                <w:sz w:val="24"/>
                <w:szCs w:val="24"/>
                <w:highlight w:val="none"/>
                <w:lang w:eastAsia="en-US"/>
              </w:rPr>
              <w:t>学位总数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市直属</w:t>
            </w:r>
          </w:p>
        </w:tc>
        <w:tc>
          <w:tcPr>
            <w:tcW w:w="2261"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305</w:t>
            </w:r>
          </w:p>
        </w:tc>
        <w:tc>
          <w:tcPr>
            <w:tcW w:w="17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6170</w:t>
            </w:r>
          </w:p>
        </w:tc>
        <w:tc>
          <w:tcPr>
            <w:tcW w:w="16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3000</w:t>
            </w:r>
          </w:p>
        </w:tc>
        <w:tc>
          <w:tcPr>
            <w:tcW w:w="1893"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9475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茂南区</w:t>
            </w:r>
          </w:p>
        </w:tc>
        <w:tc>
          <w:tcPr>
            <w:tcW w:w="2261"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10779</w:t>
            </w:r>
          </w:p>
        </w:tc>
        <w:tc>
          <w:tcPr>
            <w:tcW w:w="17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9630</w:t>
            </w:r>
          </w:p>
        </w:tc>
        <w:tc>
          <w:tcPr>
            <w:tcW w:w="16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1500</w:t>
            </w:r>
          </w:p>
        </w:tc>
        <w:tc>
          <w:tcPr>
            <w:tcW w:w="1893"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21909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7" w:type="dxa"/>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240" w:lineRule="atLeas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en-US"/>
              </w:rPr>
              <w:t>电白区</w:t>
            </w:r>
            <w:r>
              <w:rPr>
                <w:rFonts w:hint="eastAsia" w:ascii="仿宋_GB2312" w:hAnsi="仿宋_GB2312" w:eastAsia="仿宋_GB2312" w:cs="仿宋_GB2312"/>
                <w:color w:val="auto"/>
                <w:sz w:val="24"/>
                <w:szCs w:val="24"/>
                <w:highlight w:val="none"/>
                <w:lang w:eastAsia="zh-CN"/>
              </w:rPr>
              <w:t>（含水东湾新城）</w:t>
            </w:r>
          </w:p>
        </w:tc>
        <w:tc>
          <w:tcPr>
            <w:tcW w:w="2261"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1700</w:t>
            </w:r>
          </w:p>
        </w:tc>
        <w:tc>
          <w:tcPr>
            <w:tcW w:w="17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12410</w:t>
            </w:r>
          </w:p>
        </w:tc>
        <w:tc>
          <w:tcPr>
            <w:tcW w:w="16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1400</w:t>
            </w:r>
          </w:p>
        </w:tc>
        <w:tc>
          <w:tcPr>
            <w:tcW w:w="1893"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15510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信宜市</w:t>
            </w:r>
          </w:p>
        </w:tc>
        <w:tc>
          <w:tcPr>
            <w:tcW w:w="2261"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1790</w:t>
            </w:r>
          </w:p>
        </w:tc>
        <w:tc>
          <w:tcPr>
            <w:tcW w:w="17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6920</w:t>
            </w:r>
          </w:p>
        </w:tc>
        <w:tc>
          <w:tcPr>
            <w:tcW w:w="16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500</w:t>
            </w:r>
          </w:p>
        </w:tc>
        <w:tc>
          <w:tcPr>
            <w:tcW w:w="1893"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9210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高州市</w:t>
            </w:r>
          </w:p>
        </w:tc>
        <w:tc>
          <w:tcPr>
            <w:tcW w:w="2261"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1125</w:t>
            </w:r>
          </w:p>
        </w:tc>
        <w:tc>
          <w:tcPr>
            <w:tcW w:w="17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21560</w:t>
            </w:r>
          </w:p>
        </w:tc>
        <w:tc>
          <w:tcPr>
            <w:tcW w:w="16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2000</w:t>
            </w:r>
          </w:p>
        </w:tc>
        <w:tc>
          <w:tcPr>
            <w:tcW w:w="1893"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24685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化州市</w:t>
            </w:r>
          </w:p>
        </w:tc>
        <w:tc>
          <w:tcPr>
            <w:tcW w:w="2261"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1070</w:t>
            </w:r>
          </w:p>
        </w:tc>
        <w:tc>
          <w:tcPr>
            <w:tcW w:w="17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13560</w:t>
            </w:r>
          </w:p>
        </w:tc>
        <w:tc>
          <w:tcPr>
            <w:tcW w:w="16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800</w:t>
            </w:r>
          </w:p>
        </w:tc>
        <w:tc>
          <w:tcPr>
            <w:tcW w:w="1893"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15430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滨海新区</w:t>
            </w:r>
          </w:p>
        </w:tc>
        <w:tc>
          <w:tcPr>
            <w:tcW w:w="2261"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700</w:t>
            </w:r>
          </w:p>
        </w:tc>
        <w:tc>
          <w:tcPr>
            <w:tcW w:w="17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960</w:t>
            </w:r>
          </w:p>
        </w:tc>
        <w:tc>
          <w:tcPr>
            <w:tcW w:w="16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300</w:t>
            </w:r>
          </w:p>
        </w:tc>
        <w:tc>
          <w:tcPr>
            <w:tcW w:w="1893"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高新区</w:t>
            </w:r>
          </w:p>
        </w:tc>
        <w:tc>
          <w:tcPr>
            <w:tcW w:w="2261"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650</w:t>
            </w:r>
          </w:p>
        </w:tc>
        <w:tc>
          <w:tcPr>
            <w:tcW w:w="17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560</w:t>
            </w:r>
          </w:p>
        </w:tc>
        <w:tc>
          <w:tcPr>
            <w:tcW w:w="16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1200</w:t>
            </w:r>
          </w:p>
        </w:tc>
        <w:tc>
          <w:tcPr>
            <w:tcW w:w="1893"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2410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4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合</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en-US"/>
              </w:rPr>
              <w:t>计</w:t>
            </w:r>
          </w:p>
        </w:tc>
        <w:tc>
          <w:tcPr>
            <w:tcW w:w="2261"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18119</w:t>
            </w:r>
          </w:p>
        </w:tc>
        <w:tc>
          <w:tcPr>
            <w:tcW w:w="17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ab/>
            </w:r>
            <w:r>
              <w:rPr>
                <w:rFonts w:hint="eastAsia" w:ascii="仿宋_GB2312" w:hAnsi="仿宋_GB2312" w:eastAsia="仿宋_GB2312" w:cs="仿宋_GB2312"/>
                <w:color w:val="auto"/>
                <w:sz w:val="24"/>
                <w:szCs w:val="24"/>
                <w:highlight w:val="none"/>
                <w:lang w:eastAsia="en-US"/>
              </w:rPr>
              <w:t>71770</w:t>
            </w:r>
            <w:r>
              <w:rPr>
                <w:rFonts w:hint="eastAsia" w:ascii="仿宋_GB2312" w:hAnsi="仿宋_GB2312" w:eastAsia="仿宋_GB2312" w:cs="仿宋_GB2312"/>
                <w:color w:val="auto"/>
                <w:sz w:val="24"/>
                <w:szCs w:val="24"/>
                <w:highlight w:val="none"/>
                <w:lang w:eastAsia="en-US"/>
              </w:rPr>
              <w:tab/>
            </w:r>
          </w:p>
        </w:tc>
        <w:tc>
          <w:tcPr>
            <w:tcW w:w="1627"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10700</w:t>
            </w:r>
          </w:p>
        </w:tc>
        <w:tc>
          <w:tcPr>
            <w:tcW w:w="1893" w:type="dxa"/>
            <w:noWrap w:val="0"/>
            <w:vAlign w:val="center"/>
          </w:tcPr>
          <w:p>
            <w:pPr>
              <w:shd w:val="clear" w:color="auto" w:fill="auto"/>
              <w:jc w:val="center"/>
              <w:rPr>
                <w:rFonts w:hint="eastAsia" w:ascii="仿宋_GB2312" w:hAnsi="仿宋_GB2312" w:eastAsia="仿宋_GB2312" w:cs="仿宋_GB2312"/>
                <w:color w:val="auto"/>
                <w:sz w:val="24"/>
                <w:szCs w:val="24"/>
                <w:highlight w:val="none"/>
                <w:lang w:eastAsia="en-US"/>
              </w:rPr>
            </w:pPr>
            <w:r>
              <w:rPr>
                <w:rFonts w:hint="eastAsia" w:ascii="仿宋_GB2312" w:hAnsi="仿宋_GB2312" w:eastAsia="仿宋_GB2312" w:cs="仿宋_GB2312"/>
                <w:color w:val="auto"/>
                <w:sz w:val="24"/>
                <w:szCs w:val="24"/>
                <w:highlight w:val="none"/>
                <w:lang w:eastAsia="en-US"/>
              </w:rPr>
              <w:t>100589</w:t>
            </w: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textAlignment w:val="auto"/>
        <w:outlineLvl w:val="9"/>
      </w:pPr>
    </w:p>
    <w:p/>
    <w:sectPr>
      <w:footerReference r:id="rId13" w:type="first"/>
      <w:footerReference r:id="rId12" w:type="default"/>
      <w:pgSz w:w="11906" w:h="16838"/>
      <w:pgMar w:top="1927" w:right="1304" w:bottom="1531" w:left="1531" w:header="850" w:footer="1417" w:gutter="0"/>
      <w:pgNumType w:fmt="numberInDash"/>
      <w:cols w:space="720" w:num="1"/>
      <w:titlePg/>
      <w:docGrid w:type="linesAndChars" w:linePitch="600"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t>- 1 -</w:t>
                          </w:r>
                          <w:r>
                            <w:rPr>
                              <w:rFonts w:hint="eastAsia" w:ascii="宋体" w:hAnsi="宋体" w:eastAsia="宋体" w:cs="宋体"/>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t>- 1 -</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Calibri" w:hAnsi="Calibri"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Calibri" w:hAnsi="Calibri" w:eastAsia="宋体" w:cs="Times New Roman"/>
        <w:kern w:val="2"/>
        <w:sz w:val="1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jc w:val="left"/>
                            <w:rPr>
                              <w:rFonts w:ascii="Calibri" w:hAnsi="Calibri" w:eastAsia="宋体" w:cs="Times New Roman"/>
                              <w:kern w:val="2"/>
                              <w:sz w:val="18"/>
                              <w:szCs w:val="18"/>
                              <w:lang w:val="en-US" w:eastAsia="zh-CN" w:bidi="ar-SA"/>
                            </w:rPr>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t>- 2 -</w:t>
                          </w:r>
                          <w:r>
                            <w:rPr>
                              <w:rFonts w:ascii="宋体" w:hAnsi="宋体" w:eastAsia="宋体" w:cs="Times New Roman"/>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widowControl w:val="0"/>
                      <w:snapToGrid w:val="0"/>
                      <w:jc w:val="left"/>
                      <w:rPr>
                        <w:rFonts w:ascii="Calibri" w:hAnsi="Calibri" w:eastAsia="宋体" w:cs="Times New Roman"/>
                        <w:kern w:val="2"/>
                        <w:sz w:val="18"/>
                        <w:szCs w:val="18"/>
                        <w:lang w:val="en-US" w:eastAsia="zh-CN" w:bidi="ar-SA"/>
                      </w:rPr>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t>- 2 -</w:t>
                    </w:r>
                    <w:r>
                      <w:rPr>
                        <w:rFonts w:ascii="宋体" w:hAnsi="宋体" w:eastAsia="宋体" w:cs="Times New Roman"/>
                        <w:kern w:val="2"/>
                        <w:sz w:val="28"/>
                        <w:szCs w:val="28"/>
                        <w:lang w:val="en-US" w:eastAsia="zh-CN" w:bidi="ar-S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jc w:val="left"/>
                            <w:rPr>
                              <w:rFonts w:ascii="Calibri" w:hAnsi="Calibri" w:eastAsia="宋体" w:cs="Times New Roman"/>
                              <w:kern w:val="2"/>
                              <w:sz w:val="18"/>
                              <w:szCs w:val="18"/>
                              <w:lang w:val="en-US" w:eastAsia="zh-CN" w:bidi="ar-SA"/>
                            </w:rPr>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t>- 1 -</w:t>
                          </w:r>
                          <w:r>
                            <w:rPr>
                              <w:rFonts w:ascii="宋体" w:hAnsi="宋体" w:eastAsia="宋体" w:cs="Times New Roman"/>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widowControl w:val="0"/>
                      <w:snapToGrid w:val="0"/>
                      <w:jc w:val="left"/>
                      <w:rPr>
                        <w:rFonts w:ascii="Calibri" w:hAnsi="Calibri" w:eastAsia="宋体" w:cs="Times New Roman"/>
                        <w:kern w:val="2"/>
                        <w:sz w:val="18"/>
                        <w:szCs w:val="18"/>
                        <w:lang w:val="en-US" w:eastAsia="zh-CN" w:bidi="ar-SA"/>
                      </w:rPr>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t>- 1 -</w:t>
                    </w:r>
                    <w:r>
                      <w:rPr>
                        <w:rFonts w:ascii="宋体" w:hAnsi="宋体" w:eastAsia="宋体" w:cs="Times New Roman"/>
                        <w:kern w:val="2"/>
                        <w:sz w:val="28"/>
                        <w:szCs w:val="28"/>
                        <w:lang w:val="en-US" w:eastAsia="zh-CN" w:bidi="ar-S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矩形 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- 60 -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Dk8T6pvwEAAIwDAAAOAAAAAAAAAAEAIAAAAB8BAABkcnMvZTJvRG9jLnhtbFBLBQYA&#10;AAAABgAGAFkBAABQBQ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- 60 -</w:t>
                    </w:r>
                    <w:r>
                      <w:rPr>
                        <w:rFonts w:hint="eastAsia" w:ascii="宋体" w:hAnsi="宋体" w:eastAsia="宋体" w:cs="宋体"/>
                        <w:sz w:val="28"/>
                        <w:szCs w:val="28"/>
                        <w:lang w:eastAsia="zh-CN"/>
                      </w:rP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矩形 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- 59 -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CsZxdAvwEAAIwDAAAOAAAAAAAAAAEAIAAAAB8BAABkcnMvZTJvRG9jLnhtbFBLBQYA&#10;AAAABgAGAFkBAABQBQ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- 59 -</w:t>
                    </w:r>
                    <w:r>
                      <w:rPr>
                        <w:rFonts w:hint="eastAsia" w:ascii="宋体" w:hAnsi="宋体" w:eastAsia="宋体" w:cs="宋体"/>
                        <w:sz w:val="28"/>
                        <w:szCs w:val="28"/>
                        <w:lang w:eastAsia="zh-C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r>
        <w:separator/>
      </w:r>
    </w:p>
  </w:footnote>
  <w:footnote w:type="continuationSeparator" w:id="19">
    <w:p>
      <w:r>
        <w:continuationSeparator/>
      </w:r>
    </w:p>
  </w:footnote>
  <w:footnote w:id="0">
    <w:p>
      <w:pPr>
        <w:pStyle w:val="8"/>
      </w:pPr>
      <w:r>
        <w:rPr>
          <w:rStyle w:val="11"/>
          <w:rFonts w:ascii="Times New Roman" w:hAnsi="Times New Roman"/>
        </w:rPr>
        <w:footnoteRef/>
      </w:r>
      <w:r>
        <w:rPr>
          <w:rFonts w:hint="eastAsia"/>
        </w:rPr>
        <w:t>“两个只增不减”：一般公共预算教育支出逐年只增不减，按在校学生人数平均的一般公共预算教育支出逐年只增不减。</w:t>
      </w:r>
    </w:p>
  </w:footnote>
  <w:footnote w:id="1">
    <w:p>
      <w:pPr>
        <w:pStyle w:val="8"/>
        <w:snapToGrid w:val="0"/>
        <w:rPr>
          <w:rFonts w:hint="eastAsia" w:eastAsia="宋体"/>
          <w:lang w:eastAsia="zh-CN"/>
        </w:rPr>
      </w:pPr>
      <w:r>
        <w:rPr>
          <w:rStyle w:val="11"/>
          <w:rFonts w:ascii="Times New Roman" w:hAnsi="Times New Roman"/>
        </w:rPr>
        <w:footnoteRef/>
      </w:r>
      <w:r>
        <w:t xml:space="preserve"> </w:t>
      </w:r>
      <w:r>
        <w:rPr>
          <w:rFonts w:hint="eastAsia"/>
        </w:rPr>
        <w:t>中小学教师平均工资收入水平不低于或高于当地公务员平均工资收入水平，农村教师平均工资收入水平不低于或高于城镇教师平均工资收入水平</w:t>
      </w:r>
      <w:r>
        <w:rPr>
          <w:rFonts w:hint="eastAsia"/>
          <w:lang w:eastAsia="zh-CN"/>
        </w:rPr>
        <w:t>。</w:t>
      </w:r>
    </w:p>
  </w:footnote>
  <w:footnote w:id="2">
    <w:p>
      <w:pPr>
        <w:pStyle w:val="8"/>
      </w:pPr>
      <w:r>
        <w:rPr>
          <w:rStyle w:val="11"/>
          <w:rFonts w:ascii="Times New Roman" w:hAnsi="Times New Roman"/>
        </w:rPr>
        <w:footnoteRef/>
      </w:r>
      <w:r>
        <w:rPr>
          <w:rFonts w:hint="eastAsia"/>
        </w:rPr>
        <w:t>课程思政：寓价值观引导于知识传授和能力培养之中，帮助学生塑造正确的世界观、人生观、价值观。</w:t>
      </w:r>
    </w:p>
  </w:footnote>
  <w:footnote w:id="3">
    <w:p>
      <w:pPr>
        <w:pStyle w:val="8"/>
      </w:pPr>
      <w:r>
        <w:rPr>
          <w:rStyle w:val="11"/>
          <w:rFonts w:ascii="Times New Roman" w:hAnsi="Times New Roman"/>
        </w:rPr>
        <w:footnoteRef/>
      </w:r>
      <w:r>
        <w:rPr>
          <w:rFonts w:hint="eastAsia"/>
        </w:rPr>
        <w:t>“八个相统一”：政治性和学理性相统一、价值性和知识性相统一、建设性和批判性相统一、理论性和实践性相统一、统一性和多样性相统一、主导性和主体性相统一、灌输性和启发性相统一、显性教育和隐性教育相统一。</w:t>
      </w:r>
    </w:p>
  </w:footnote>
  <w:footnote w:id="4">
    <w:p>
      <w:pPr>
        <w:pStyle w:val="8"/>
      </w:pPr>
      <w:r>
        <w:rPr>
          <w:rStyle w:val="11"/>
          <w:rFonts w:ascii="Times New Roman" w:hAnsi="Times New Roman"/>
        </w:rPr>
        <w:footnoteRef/>
      </w:r>
      <w:r>
        <w:rPr>
          <w:rFonts w:ascii="Times New Roman" w:hAnsi="Times New Roman"/>
        </w:rPr>
        <w:t xml:space="preserve"> IPv6</w:t>
      </w:r>
      <w:r>
        <w:rPr>
          <w:rFonts w:hint="eastAsia"/>
        </w:rPr>
        <w:t>：第六版互联网协议。</w:t>
      </w:r>
    </w:p>
  </w:footnote>
  <w:footnote w:id="5">
    <w:p>
      <w:pPr>
        <w:pStyle w:val="8"/>
        <w:snapToGrid w:val="0"/>
        <w:rPr>
          <w:rFonts w:hint="eastAsia" w:eastAsia="宋体"/>
          <w:color w:val="auto"/>
          <w:sz w:val="18"/>
          <w:szCs w:val="18"/>
          <w:lang w:eastAsia="zh-CN"/>
        </w:rPr>
      </w:pPr>
      <w:r>
        <w:rPr>
          <w:rStyle w:val="11"/>
          <w:rFonts w:ascii="Times New Roman" w:hAnsi="Times New Roman"/>
          <w:color w:val="auto"/>
          <w:sz w:val="18"/>
          <w:szCs w:val="18"/>
        </w:rPr>
        <w:footnoteRef/>
      </w:r>
      <w:r>
        <w:rPr>
          <w:color w:val="auto"/>
          <w:sz w:val="18"/>
          <w:szCs w:val="18"/>
        </w:rPr>
        <w:t xml:space="preserve"> </w:t>
      </w:r>
      <w:r>
        <w:rPr>
          <w:rFonts w:ascii="Arial" w:hAnsi="Arial" w:eastAsia="宋体" w:cs="Arial"/>
          <w:i w:val="0"/>
          <w:iCs w:val="0"/>
          <w:caps w:val="0"/>
          <w:color w:val="auto"/>
          <w:spacing w:val="0"/>
          <w:sz w:val="18"/>
          <w:szCs w:val="18"/>
          <w:shd w:val="clear" w:color="auto" w:fill="FFFFFF"/>
        </w:rPr>
        <w:t>基本科学指标数据库</w:t>
      </w:r>
      <w:r>
        <w:rPr>
          <w:rFonts w:hint="eastAsia" w:ascii="Arial" w:hAnsi="Arial" w:eastAsia="宋体" w:cs="Arial"/>
          <w:i w:val="0"/>
          <w:iCs w:val="0"/>
          <w:caps w:val="0"/>
          <w:color w:val="auto"/>
          <w:spacing w:val="0"/>
          <w:sz w:val="18"/>
          <w:szCs w:val="18"/>
          <w:shd w:val="clear" w:color="auto" w:fill="FFFFFF"/>
          <w:lang w:eastAsia="zh-CN"/>
        </w:rPr>
        <w:t>（</w:t>
      </w:r>
      <w:r>
        <w:rPr>
          <w:rFonts w:ascii="Arial" w:hAnsi="Arial" w:eastAsia="宋体" w:cs="Arial"/>
          <w:i w:val="0"/>
          <w:iCs w:val="0"/>
          <w:caps w:val="0"/>
          <w:color w:val="auto"/>
          <w:spacing w:val="0"/>
          <w:sz w:val="18"/>
          <w:szCs w:val="18"/>
          <w:shd w:val="clear" w:color="auto" w:fill="FFFFFF"/>
        </w:rPr>
        <w:t>Essential Science Indicators</w:t>
      </w:r>
      <w:r>
        <w:rPr>
          <w:rFonts w:hint="eastAsia" w:ascii="Arial" w:hAnsi="Arial" w:eastAsia="宋体" w:cs="Arial"/>
          <w:i w:val="0"/>
          <w:iCs w:val="0"/>
          <w:caps w:val="0"/>
          <w:color w:val="auto"/>
          <w:spacing w:val="0"/>
          <w:sz w:val="18"/>
          <w:szCs w:val="18"/>
          <w:shd w:val="clear" w:color="auto" w:fill="FFFFFF"/>
          <w:lang w:eastAsia="zh-CN"/>
        </w:rPr>
        <w:t>）的简称，</w:t>
      </w:r>
      <w:r>
        <w:rPr>
          <w:rFonts w:ascii="Arial" w:hAnsi="Arial" w:eastAsia="宋体" w:cs="Arial"/>
          <w:i w:val="0"/>
          <w:iCs w:val="0"/>
          <w:caps w:val="0"/>
          <w:color w:val="auto"/>
          <w:spacing w:val="0"/>
          <w:sz w:val="18"/>
          <w:szCs w:val="18"/>
          <w:shd w:val="clear" w:color="auto" w:fill="FFFFFF"/>
        </w:rPr>
        <w:t>是由世界著名的学术信息出版机构美国科技信息研究所(ISI)于2001年推出的衡量科学研究绩效、跟踪科学发展趋势的基本分析评价工具</w:t>
      </w:r>
      <w:r>
        <w:rPr>
          <w:rFonts w:hint="eastAsia" w:ascii="Arial" w:hAnsi="Arial" w:eastAsia="宋体" w:cs="Arial"/>
          <w:i w:val="0"/>
          <w:iCs w:val="0"/>
          <w:caps w:val="0"/>
          <w:color w:val="auto"/>
          <w:spacing w:val="0"/>
          <w:sz w:val="18"/>
          <w:szCs w:val="18"/>
          <w:shd w:val="clear" w:color="auto" w:fill="FFFFFF"/>
          <w:lang w:eastAsia="zh-CN"/>
        </w:rPr>
        <w:t>，</w:t>
      </w:r>
      <w:r>
        <w:rPr>
          <w:rFonts w:hint="default" w:ascii="Arial" w:hAnsi="Arial" w:eastAsia="宋体" w:cs="Arial"/>
          <w:i w:val="0"/>
          <w:iCs w:val="0"/>
          <w:caps w:val="0"/>
          <w:color w:val="auto"/>
          <w:spacing w:val="0"/>
          <w:sz w:val="18"/>
          <w:szCs w:val="18"/>
          <w:shd w:val="clear" w:color="auto" w:fill="FFFFFF"/>
        </w:rPr>
        <w:t>已成为当今世界范围内普遍用以评价高校、学术机构、国家/地区国际学术水平及影响力的重要评价指标工具之一。ESI设置的22个学科为：生物学与生物化学、化学、计算机科学、经济与商业、工程学、地球科学、材料科学、数学、综合交叉学科、物理学、社会科学总论、空间科学、农业科学、临床医学、分子生物学与遗传学、神经系统学与行为学、免疫学、精神病学与心理学、微生物学、环境科学与生态学、植物学与动物学、药理学与毒理学。</w:t>
      </w:r>
    </w:p>
  </w:footnote>
  <w:footnote w:id="6">
    <w:p>
      <w:pPr>
        <w:pStyle w:val="8"/>
        <w:rPr>
          <w:color w:val="auto"/>
        </w:rPr>
      </w:pPr>
      <w:r>
        <w:rPr>
          <w:rStyle w:val="11"/>
          <w:rFonts w:ascii="Times New Roman" w:hAnsi="Times New Roman"/>
          <w:color w:val="auto"/>
        </w:rPr>
        <w:footnoteRef/>
      </w:r>
      <w:r>
        <w:rPr>
          <w:rFonts w:hint="eastAsia"/>
          <w:color w:val="auto"/>
        </w:rPr>
        <w:t>“双带头人”和“双培养”：教师党支部书记“党建带头人、业务带头人”培育工程，把骨干教师培养成党员，把党员教师培养成教学、科研、管理骨干的“双培养”机制。</w:t>
      </w:r>
    </w:p>
  </w:footnote>
  <w:footnote w:id="7">
    <w:p>
      <w:pPr>
        <w:pStyle w:val="8"/>
        <w:snapToGrid w:val="0"/>
        <w:rPr>
          <w:rFonts w:hint="eastAsia"/>
          <w:shd w:val="clear" w:color="auto" w:fill="FFFF00"/>
          <w:lang w:eastAsia="zh-CN"/>
        </w:rPr>
      </w:pPr>
      <w:r>
        <w:rPr>
          <w:rStyle w:val="11"/>
          <w:rFonts w:ascii="Times New Roman" w:hAnsi="Times New Roman"/>
          <w:color w:val="auto"/>
        </w:rPr>
        <w:footnoteRef/>
      </w:r>
      <w:r>
        <w:rPr>
          <w:color w:val="auto"/>
        </w:rPr>
        <w:t xml:space="preserve"> </w:t>
      </w:r>
      <w:r>
        <w:rPr>
          <w:rFonts w:hint="eastAsia"/>
          <w:color w:val="auto"/>
          <w:shd w:val="clear" w:color="auto" w:fill="auto"/>
        </w:rPr>
        <w:t>公办</w:t>
      </w:r>
      <w:r>
        <w:rPr>
          <w:rFonts w:hint="default"/>
          <w:color w:val="auto"/>
          <w:shd w:val="clear" w:color="auto" w:fill="auto"/>
        </w:rPr>
        <w:t>学校</w:t>
      </w:r>
      <w:r>
        <w:rPr>
          <w:rFonts w:hint="eastAsia"/>
          <w:color w:val="auto"/>
          <w:shd w:val="clear" w:color="auto" w:fill="auto"/>
          <w:lang w:eastAsia="zh-CN"/>
        </w:rPr>
        <w:t>举办或者参与</w:t>
      </w:r>
      <w:r>
        <w:rPr>
          <w:rFonts w:hint="default"/>
          <w:color w:val="auto"/>
          <w:shd w:val="clear" w:color="auto" w:fill="auto"/>
        </w:rPr>
        <w:t>举办的民办学</w:t>
      </w:r>
      <w:r>
        <w:rPr>
          <w:rFonts w:hint="eastAsia"/>
          <w:color w:val="auto"/>
          <w:shd w:val="clear" w:color="auto" w:fill="auto"/>
          <w:lang w:eastAsia="zh-CN"/>
        </w:rPr>
        <w:t>校</w:t>
      </w:r>
      <w:r>
        <w:rPr>
          <w:rFonts w:hint="default"/>
          <w:color w:val="auto"/>
          <w:shd w:val="clear" w:color="auto" w:fill="auto"/>
        </w:rPr>
        <w:t>简称</w:t>
      </w:r>
      <w:r>
        <w:rPr>
          <w:rFonts w:hint="eastAsia"/>
          <w:color w:val="auto"/>
          <w:shd w:val="clear" w:color="auto" w:fill="auto"/>
          <w:lang w:eastAsia="zh-CN"/>
        </w:rPr>
        <w:t>“</w:t>
      </w:r>
      <w:r>
        <w:rPr>
          <w:rFonts w:hint="default"/>
          <w:color w:val="auto"/>
          <w:shd w:val="clear" w:color="auto" w:fill="auto"/>
        </w:rPr>
        <w:t>公参民</w:t>
      </w:r>
      <w:r>
        <w:rPr>
          <w:rFonts w:hint="eastAsia"/>
          <w:color w:val="auto"/>
          <w:shd w:val="clear" w:color="auto" w:fill="auto"/>
          <w:lang w:eastAsia="zh-CN"/>
        </w:rPr>
        <w:t>”</w:t>
      </w:r>
      <w:r>
        <w:rPr>
          <w:rFonts w:hint="eastAsia"/>
          <w:shd w:val="clear" w:color="auto" w:fill="auto"/>
          <w:lang w:eastAsia="zh-CN"/>
        </w:rPr>
        <w:t>。</w:t>
      </w:r>
    </w:p>
  </w:footnote>
  <w:footnote w:id="8">
    <w:p>
      <w:pPr>
        <w:pStyle w:val="8"/>
      </w:pPr>
      <w:r>
        <w:rPr>
          <w:rStyle w:val="11"/>
          <w:rFonts w:ascii="Times New Roman" w:hAnsi="Times New Roman"/>
        </w:rPr>
        <w:footnoteRef/>
      </w:r>
      <w:r>
        <w:rPr>
          <w:rFonts w:hint="eastAsia"/>
        </w:rPr>
        <w:t>“五唯”：唯分数、唯升学、唯文凭、唯论文、唯帽子。</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idowControl w:val="0"/>
      <w:pBdr>
        <w:top w:val="none" w:color="auto" w:sz="0" w:space="1"/>
        <w:left w:val="none" w:color="auto" w:sz="0" w:space="4"/>
        <w:bottom w:val="none" w:color="auto" w:sz="0" w:space="1"/>
        <w:right w:val="none" w:color="auto" w:sz="0" w:space="4"/>
      </w:pBdr>
      <w:snapToGrid w:val="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18"/>
    <w:footnote w:id="19"/>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jYWYwZTM2NTVkYWRiYzMyZWEyYjgyN2Y5YmQ4OTIifQ=="/>
  </w:docVars>
  <w:rsids>
    <w:rsidRoot w:val="1BC57AA4"/>
    <w:rsid w:val="087715C4"/>
    <w:rsid w:val="1BC57AA4"/>
    <w:rsid w:val="20F21118"/>
    <w:rsid w:val="2AE71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宋体" w:eastAsia="仿宋_GB2312" w:cs="宋体"/>
      <w:kern w:val="2"/>
      <w:sz w:val="32"/>
      <w:szCs w:val="32"/>
      <w:lang w:val="en-US" w:eastAsia="zh-CN" w:bidi="ar-SA"/>
    </w:rPr>
  </w:style>
  <w:style w:type="paragraph" w:styleId="3">
    <w:name w:val="heading 1"/>
    <w:next w:val="1"/>
    <w:qFormat/>
    <w:uiPriority w:val="0"/>
    <w:pPr>
      <w:keepNext/>
      <w:keepLines/>
      <w:widowControl w:val="0"/>
      <w:spacing w:before="340" w:beforeLines="0" w:after="330" w:afterLines="0" w:line="578" w:lineRule="auto"/>
      <w:jc w:val="both"/>
      <w:outlineLvl w:val="0"/>
    </w:pPr>
    <w:rPr>
      <w:rFonts w:ascii="Calibri" w:hAnsi="Calibri" w:eastAsia="宋体" w:cs="Times New Roman"/>
      <w:b/>
      <w:bCs/>
      <w:kern w:val="44"/>
      <w:sz w:val="44"/>
      <w:szCs w:val="44"/>
      <w:lang w:val="en-US" w:eastAsia="zh-CN" w:bidi="ar-SA"/>
    </w:rPr>
  </w:style>
  <w:style w:type="paragraph" w:styleId="4">
    <w:name w:val="heading 2"/>
    <w:next w:val="1"/>
    <w:qFormat/>
    <w:uiPriority w:val="0"/>
    <w:pPr>
      <w:keepNext/>
      <w:keepLines/>
      <w:widowControl w:val="0"/>
      <w:spacing w:before="260" w:beforeLines="0" w:after="260" w:afterLines="0" w:line="416" w:lineRule="auto"/>
      <w:jc w:val="both"/>
      <w:outlineLvl w:val="1"/>
    </w:pPr>
    <w:rPr>
      <w:rFonts w:ascii="Cambria" w:hAnsi="Cambria" w:eastAsia="宋体" w:cs="Times New Roman"/>
      <w:b/>
      <w:bCs/>
      <w:kern w:val="2"/>
      <w:sz w:val="32"/>
      <w:szCs w:val="3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c 2"/>
    <w:next w:val="1"/>
    <w:qFormat/>
    <w:uiPriority w:val="0"/>
    <w:pPr>
      <w:widowControl w:val="0"/>
      <w:ind w:left="420" w:leftChars="200"/>
      <w:jc w:val="both"/>
    </w:pPr>
    <w:rPr>
      <w:rFonts w:ascii="Times New Roman" w:hAnsi="Times New Roman" w:eastAsia="宋体" w:cs="Times New Roman"/>
      <w:kern w:val="2"/>
      <w:sz w:val="30"/>
      <w:szCs w:val="24"/>
      <w:lang w:val="en-US" w:eastAsia="zh-CN" w:bidi="ar-SA"/>
    </w:rPr>
  </w:style>
  <w:style w:type="paragraph" w:styleId="5">
    <w:name w:val="Body Text"/>
    <w:qFormat/>
    <w:uiPriority w:val="0"/>
    <w:pPr>
      <w:widowControl/>
      <w:spacing w:after="120" w:afterLines="0" w:line="276" w:lineRule="auto"/>
      <w:jc w:val="left"/>
    </w:pPr>
    <w:rPr>
      <w:rFonts w:ascii="微软雅黑" w:hAnsi="微软雅黑" w:eastAsia="微软雅黑" w:cs="Times New Roman"/>
      <w:kern w:val="0"/>
      <w:sz w:val="22"/>
      <w:szCs w:val="24"/>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footnote text"/>
    <w:qFormat/>
    <w:uiPriority w:val="0"/>
    <w:pPr>
      <w:widowControl w:val="0"/>
      <w:snapToGrid w:val="0"/>
      <w:jc w:val="left"/>
    </w:pPr>
    <w:rPr>
      <w:rFonts w:ascii="Calibri" w:hAnsi="Calibri" w:eastAsia="宋体" w:cs="Times New Roman"/>
      <w:kern w:val="2"/>
      <w:sz w:val="18"/>
      <w:szCs w:val="18"/>
      <w:lang w:val="en-US" w:eastAsia="zh-CN" w:bidi="ar-SA"/>
    </w:rPr>
  </w:style>
  <w:style w:type="character" w:styleId="11">
    <w:name w:val="footnote reference"/>
    <w:qFormat/>
    <w:uiPriority w:val="0"/>
    <w:rPr>
      <w:vertAlign w:val="superscript"/>
    </w:rPr>
  </w:style>
  <w:style w:type="paragraph" w:customStyle="1" w:styleId="12">
    <w:name w:val="TOC Heading_ba14bb7e-0c0c-4353-99d7-f3b4893e1eba"/>
    <w:next w:val="1"/>
    <w:qFormat/>
    <w:uiPriority w:val="0"/>
    <w:pPr>
      <w:keepNext/>
      <w:keepLines/>
      <w:widowControl/>
      <w:spacing w:before="480" w:beforeLines="0" w:after="0" w:afterLines="0" w:line="276" w:lineRule="auto"/>
      <w:jc w:val="left"/>
      <w:outlineLvl w:val="9"/>
    </w:pPr>
    <w:rPr>
      <w:rFonts w:ascii="Cambria" w:hAnsi="Cambria" w:eastAsia="宋体" w:cs="Times New Roman"/>
      <w:b/>
      <w:bCs/>
      <w:color w:val="366091"/>
      <w:kern w:val="0"/>
      <w:sz w:val="28"/>
      <w:szCs w:val="28"/>
      <w:lang w:val="en-US" w:eastAsia="zh-CN" w:bidi="ar-SA"/>
    </w:rPr>
  </w:style>
  <w:style w:type="paragraph" w:customStyle="1" w:styleId="13">
    <w:name w:val="WPSOffice手动目录 1"/>
    <w:qFormat/>
    <w:uiPriority w:val="0"/>
    <w:rPr>
      <w:rFonts w:ascii="Times New Roman" w:hAnsi="Times New Roman" w:eastAsia="宋体" w:cs="Times New Roman"/>
      <w:lang w:val="en-US" w:eastAsia="zh-CN" w:bidi="ar-SA"/>
    </w:rPr>
  </w:style>
  <w:style w:type="paragraph" w:customStyle="1" w:styleId="1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5">
    <w:name w:val="Body text|1"/>
    <w:qFormat/>
    <w:uiPriority w:val="0"/>
    <w:pPr>
      <w:widowControl w:val="0"/>
      <w:spacing w:line="458" w:lineRule="auto"/>
      <w:ind w:firstLine="400"/>
      <w:jc w:val="left"/>
    </w:pPr>
    <w:rPr>
      <w:rFonts w:ascii="宋体" w:hAnsi="宋体" w:eastAsia="宋体" w:cs="Times New Roman"/>
      <w:kern w:val="2"/>
      <w:sz w:val="20"/>
      <w:szCs w:val="20"/>
      <w:lang w:val="zh-TW" w:eastAsia="zh-TW" w:bidi="zh-TW"/>
    </w:rPr>
  </w:style>
  <w:style w:type="character" w:customStyle="1" w:styleId="16">
    <w:name w:val="font91"/>
    <w:qFormat/>
    <w:uiPriority w:val="0"/>
    <w:rPr>
      <w:rFonts w:hint="default" w:ascii="Times New Roman" w:hAnsi="Times New Roman" w:cs="Times New Roman"/>
      <w:color w:val="000000"/>
      <w:sz w:val="20"/>
      <w:szCs w:val="20"/>
      <w:u w:val="none"/>
    </w:rPr>
  </w:style>
  <w:style w:type="character" w:customStyle="1" w:styleId="17">
    <w:name w:val="font51"/>
    <w:qFormat/>
    <w:uiPriority w:val="0"/>
    <w:rPr>
      <w:rFonts w:hint="eastAsia" w:ascii="宋体" w:hAnsi="宋体" w:eastAsia="宋体" w:cs="宋体"/>
      <w:color w:val="000000"/>
      <w:sz w:val="20"/>
      <w:szCs w:val="20"/>
      <w:u w:val="none"/>
    </w:rPr>
  </w:style>
  <w:style w:type="character" w:customStyle="1" w:styleId="18">
    <w:name w:val="font41"/>
    <w:qFormat/>
    <w:uiPriority w:val="0"/>
    <w:rPr>
      <w:rFonts w:hint="eastAsia" w:ascii="宋体" w:hAnsi="宋体" w:eastAsia="宋体" w:cs="宋体"/>
      <w:color w:val="000000"/>
      <w:sz w:val="20"/>
      <w:szCs w:val="20"/>
      <w:u w:val="none"/>
    </w:rPr>
  </w:style>
  <w:style w:type="character" w:customStyle="1" w:styleId="19">
    <w:name w:val="font6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2022-08-19T02:04:00Z</dcterms:created>
  <dc:creator>yiner</dc:creator>
  <cp:lastModifiedBy>zwshihm</cp:lastModifiedBy>
  <dcterms:modified xsi:type="dcterms:W3CDTF">2026-02-12T08:17:09Z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F9DC5C6519EC48418B80598B6816D642</vt:lpwstr>
  </property>
</Properties>
</file>