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hint="eastAsia" w:ascii="方正小标宋简体" w:hAnsi="方正小标宋简体" w:eastAsia="方正小标宋简体" w:cs="方正小标宋简体"/>
          <w:sz w:val="52"/>
          <w:szCs w:val="52"/>
          <w:highlight w:val="none"/>
        </w:rPr>
      </w:pPr>
      <w:r>
        <w:rPr>
          <w:rFonts w:hint="eastAsia" w:ascii="方正小标宋简体" w:hAnsi="方正小标宋简体" w:eastAsia="方正小标宋简体" w:cs="方正小标宋简体"/>
          <w:sz w:val="52"/>
          <w:szCs w:val="52"/>
          <w:highlight w:val="none"/>
        </w:rPr>
        <w:t>茂名市农业农村现代化</w:t>
      </w:r>
    </w:p>
    <w:p>
      <w:pPr>
        <w:spacing w:line="600" w:lineRule="auto"/>
        <w:jc w:val="center"/>
        <w:rPr>
          <w:rFonts w:hint="eastAsia" w:ascii="方正小标宋简体" w:hAnsi="方正小标宋简体" w:eastAsia="方正小标宋简体" w:cs="方正小标宋简体"/>
          <w:sz w:val="52"/>
          <w:szCs w:val="52"/>
          <w:highlight w:val="none"/>
        </w:rPr>
      </w:pPr>
      <w:r>
        <w:rPr>
          <w:rFonts w:hint="eastAsia" w:ascii="方正小标宋简体" w:hAnsi="方正小标宋简体" w:eastAsia="方正小标宋简体" w:cs="方正小标宋简体"/>
          <w:sz w:val="52"/>
          <w:szCs w:val="52"/>
          <w:highlight w:val="none"/>
        </w:rPr>
        <w:t>“十四五”规划</w:t>
      </w:r>
    </w:p>
    <w:p>
      <w:pPr>
        <w:pStyle w:val="17"/>
        <w:ind w:firstLine="1441"/>
        <w:rPr>
          <w:rFonts w:ascii="Times New Roman" w:hAnsi="Times New Roman" w:eastAsia="华文中宋" w:cs="Times New Roman"/>
          <w:b/>
          <w:bCs/>
          <w:kern w:val="0"/>
          <w:sz w:val="72"/>
          <w:szCs w:val="72"/>
          <w:highlight w:val="none"/>
        </w:rPr>
      </w:pPr>
    </w:p>
    <w:p>
      <w:pPr>
        <w:pStyle w:val="17"/>
        <w:ind w:firstLine="1441"/>
        <w:rPr>
          <w:rFonts w:ascii="Times New Roman" w:hAnsi="Times New Roman" w:eastAsia="华文中宋" w:cs="Times New Roman"/>
          <w:b/>
          <w:bCs/>
          <w:kern w:val="0"/>
          <w:sz w:val="72"/>
          <w:szCs w:val="72"/>
          <w:highlight w:val="none"/>
        </w:rPr>
      </w:pPr>
    </w:p>
    <w:p>
      <w:pPr>
        <w:pStyle w:val="17"/>
        <w:ind w:firstLine="1441"/>
        <w:rPr>
          <w:rFonts w:ascii="Times New Roman" w:hAnsi="Times New Roman" w:eastAsia="华文中宋" w:cs="Times New Roman"/>
          <w:b/>
          <w:bCs/>
          <w:kern w:val="0"/>
          <w:sz w:val="72"/>
          <w:szCs w:val="72"/>
          <w:highlight w:val="none"/>
        </w:rPr>
      </w:pPr>
    </w:p>
    <w:p>
      <w:pPr>
        <w:pStyle w:val="17"/>
        <w:ind w:firstLine="1441"/>
        <w:rPr>
          <w:rFonts w:ascii="Times New Roman" w:hAnsi="Times New Roman" w:eastAsia="华文中宋" w:cs="Times New Roman"/>
          <w:b/>
          <w:bCs/>
          <w:kern w:val="0"/>
          <w:sz w:val="72"/>
          <w:szCs w:val="72"/>
          <w:highlight w:val="none"/>
        </w:rPr>
      </w:pPr>
    </w:p>
    <w:p>
      <w:pPr>
        <w:pStyle w:val="17"/>
        <w:ind w:firstLine="641"/>
        <w:rPr>
          <w:rFonts w:ascii="Times New Roman" w:hAnsi="Times New Roman" w:eastAsia="华文中宋" w:cs="Times New Roman"/>
          <w:b/>
          <w:bCs/>
          <w:kern w:val="0"/>
          <w:szCs w:val="32"/>
          <w:highlight w:val="none"/>
        </w:rPr>
      </w:pPr>
    </w:p>
    <w:p>
      <w:pPr>
        <w:spacing w:line="600" w:lineRule="auto"/>
        <w:jc w:val="center"/>
        <w:rPr>
          <w:rFonts w:eastAsia="方正小标宋简体"/>
          <w:sz w:val="44"/>
          <w:szCs w:val="44"/>
          <w:highlight w:val="none"/>
        </w:rPr>
      </w:pPr>
      <w:bookmarkStart w:id="0" w:name="_Toc29517"/>
      <w:bookmarkStart w:id="1" w:name="_Toc25810"/>
      <w:bookmarkStart w:id="2" w:name="_Toc9155"/>
      <w:bookmarkStart w:id="3" w:name="_Toc32110"/>
      <w:bookmarkStart w:id="4" w:name="_Toc23469"/>
      <w:bookmarkStart w:id="5" w:name="_Toc50"/>
      <w:bookmarkStart w:id="6" w:name="_Toc16409"/>
      <w:bookmarkStart w:id="7" w:name="_Toc30138"/>
      <w:bookmarkStart w:id="8" w:name="_Toc26790"/>
      <w:bookmarkStart w:id="9" w:name="_Toc32320"/>
      <w:bookmarkStart w:id="10" w:name="_Toc26183"/>
      <w:bookmarkStart w:id="11" w:name="_Toc16165"/>
      <w:bookmarkStart w:id="12" w:name="_Toc6259"/>
      <w:bookmarkStart w:id="13" w:name="_Toc11637"/>
      <w:bookmarkStart w:id="14" w:name="_Toc6893"/>
      <w:bookmarkStart w:id="15" w:name="_Toc10528"/>
      <w:bookmarkStart w:id="16" w:name="_Toc31770"/>
      <w:bookmarkStart w:id="17" w:name="_Toc46384818"/>
      <w:bookmarkStart w:id="18" w:name="_Toc46384820"/>
    </w:p>
    <w:p>
      <w:pPr>
        <w:spacing w:line="600" w:lineRule="auto"/>
        <w:jc w:val="center"/>
        <w:rPr>
          <w:rFonts w:eastAsia="方正小标宋简体"/>
          <w:sz w:val="44"/>
          <w:szCs w:val="44"/>
          <w:highlight w:val="none"/>
        </w:rPr>
      </w:pPr>
    </w:p>
    <w:p>
      <w:pPr>
        <w:pStyle w:val="2"/>
        <w:ind w:firstLine="600"/>
        <w:rPr>
          <w:highlight w:val="none"/>
        </w:rPr>
      </w:pPr>
    </w:p>
    <w:p>
      <w:pPr>
        <w:spacing w:line="600" w:lineRule="auto"/>
        <w:jc w:val="center"/>
        <w:rPr>
          <w:rFonts w:eastAsia="方正小标宋简体"/>
          <w:sz w:val="36"/>
          <w:szCs w:val="36"/>
          <w:highlight w:val="none"/>
        </w:rPr>
        <w:sectPr>
          <w:footerReference r:id="rId4" w:type="default"/>
          <w:footerReference r:id="rId5" w:type="even"/>
          <w:pgSz w:w="11906" w:h="16838"/>
          <w:pgMar w:top="1973" w:right="1474" w:bottom="1973" w:left="1587" w:header="851" w:footer="992" w:gutter="0"/>
          <w:pgNumType w:start="1"/>
          <w:cols w:space="720" w:num="1"/>
          <w:docGrid w:type="lines" w:linePitch="312" w:charSpace="0"/>
        </w:sectPr>
      </w:pPr>
    </w:p>
    <w:p>
      <w:pPr>
        <w:spacing w:line="600" w:lineRule="exact"/>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目  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spacing w:line="600" w:lineRule="exact"/>
        <w:rPr>
          <w:highlight w:val="none"/>
        </w:rPr>
      </w:pPr>
    </w:p>
    <w:p>
      <w:pPr>
        <w:pStyle w:val="10"/>
        <w:tabs>
          <w:tab w:val="right" w:leader="dot" w:pos="8473"/>
        </w:tabs>
        <w:spacing w:line="600" w:lineRule="exact"/>
        <w:rPr>
          <w:highlight w:val="none"/>
        </w:rPr>
      </w:pPr>
      <w:r>
        <w:rPr>
          <w:highlight w:val="none"/>
        </w:rPr>
        <w:fldChar w:fldCharType="begin"/>
      </w:r>
      <w:r>
        <w:rPr>
          <w:highlight w:val="none"/>
        </w:rPr>
        <w:instrText xml:space="preserve">TOC \o "1-3" \h \u </w:instrText>
      </w:r>
      <w:r>
        <w:rPr>
          <w:highlight w:val="none"/>
        </w:rPr>
        <w:fldChar w:fldCharType="separate"/>
      </w:r>
      <w:r>
        <w:rPr>
          <w:highlight w:val="none"/>
        </w:rPr>
        <w:fldChar w:fldCharType="begin"/>
      </w:r>
      <w:r>
        <w:rPr>
          <w:highlight w:val="none"/>
        </w:rPr>
        <w:instrText xml:space="preserve"> HYPERLINK \l _Toc14264 </w:instrText>
      </w:r>
      <w:r>
        <w:rPr>
          <w:highlight w:val="none"/>
        </w:rPr>
        <w:fldChar w:fldCharType="separate"/>
      </w:r>
      <w:r>
        <w:rPr>
          <w:rFonts w:eastAsia="方正小标宋简体"/>
          <w:szCs w:val="36"/>
          <w:highlight w:val="none"/>
        </w:rPr>
        <w:t>第一章  研判形势 准确把握新阶段新要求</w:t>
      </w:r>
      <w:r>
        <w:rPr>
          <w:highlight w:val="none"/>
        </w:rPr>
        <w:tab/>
      </w:r>
      <w:r>
        <w:rPr>
          <w:rFonts w:hint="eastAsia"/>
          <w:highlight w:val="none"/>
        </w:rPr>
        <w:fldChar w:fldCharType="begin"/>
      </w:r>
      <w:r>
        <w:rPr>
          <w:rStyle w:val="19"/>
          <w:rFonts w:hint="eastAsia"/>
        </w:rPr>
        <w:instrText xml:space="preserve"> PAGEREF _Toc14264 \h </w:instrText>
      </w:r>
      <w:r>
        <w:rPr>
          <w:rFonts w:hint="eastAsia"/>
          <w:highlight w:val="none"/>
        </w:rPr>
        <w:fldChar w:fldCharType="separate"/>
      </w:r>
      <w:r>
        <w:rPr>
          <w:rStyle w:val="19"/>
          <w:rFonts w:hint="eastAsia"/>
        </w:rPr>
        <w:t>1</w:t>
      </w:r>
      <w:r>
        <w:rPr>
          <w:rFonts w:hint="eastAsia"/>
          <w:highlight w:val="none"/>
        </w:rPr>
        <w:fldChar w:fldCharType="end"/>
      </w:r>
      <w:r>
        <w:rPr>
          <w:highlight w:val="none"/>
        </w:rPr>
        <w:fldChar w:fldCharType="end"/>
      </w:r>
    </w:p>
    <w:p>
      <w:pPr>
        <w:pStyle w:val="12"/>
        <w:tabs>
          <w:tab w:val="right" w:leader="dot" w:pos="8473"/>
        </w:tabs>
        <w:spacing w:line="600" w:lineRule="exact"/>
        <w:ind w:left="0" w:leftChars="0"/>
        <w:rPr>
          <w:rFonts w:hint="eastAsia" w:ascii="楷体_GB2312" w:hAnsi="楷体_GB2312" w:eastAsia="楷体_GB2312" w:cs="楷体_GB2312"/>
          <w:highlight w:val="none"/>
        </w:rPr>
      </w:pPr>
      <w:r>
        <w:rPr>
          <w:rFonts w:hint="eastAsia" w:ascii="楷体_GB2312" w:hAnsi="楷体_GB2312" w:eastAsia="楷体_GB2312" w:cs="楷体_GB2312"/>
          <w:highlight w:val="none"/>
          <w:lang w:val="en-US" w:eastAsia="zh-CN"/>
        </w:rPr>
        <w:t xml:space="preserve">    </w:t>
      </w:r>
      <w:r>
        <w:rPr>
          <w:rFonts w:hint="eastAsia" w:ascii="楷体_GB2312" w:hAnsi="楷体_GB2312" w:eastAsia="楷体_GB2312" w:cs="楷体_GB2312"/>
          <w:highlight w:val="none"/>
        </w:rPr>
        <w:fldChar w:fldCharType="begin"/>
      </w:r>
      <w:r>
        <w:rPr>
          <w:rFonts w:hint="eastAsia" w:ascii="楷体_GB2312" w:hAnsi="楷体_GB2312" w:eastAsia="楷体_GB2312" w:cs="楷体_GB2312"/>
          <w:highlight w:val="none"/>
        </w:rPr>
        <w:instrText xml:space="preserve"> HYPERLINK \l _Toc5610 </w:instrText>
      </w:r>
      <w:r>
        <w:rPr>
          <w:rFonts w:hint="eastAsia" w:ascii="楷体_GB2312" w:hAnsi="楷体_GB2312" w:eastAsia="楷体_GB2312" w:cs="楷体_GB2312"/>
          <w:highlight w:val="none"/>
        </w:rPr>
        <w:fldChar w:fldCharType="separate"/>
      </w:r>
      <w:r>
        <w:rPr>
          <w:rFonts w:hint="eastAsia" w:ascii="楷体_GB2312" w:hAnsi="楷体_GB2312" w:eastAsia="楷体_GB2312" w:cs="楷体_GB2312"/>
          <w:highlight w:val="none"/>
        </w:rPr>
        <w:t>第一节  推进农业农村现代化基础坚实</w:t>
      </w:r>
      <w:r>
        <w:rPr>
          <w:rFonts w:hint="eastAsia" w:ascii="楷体_GB2312" w:hAnsi="楷体_GB2312" w:eastAsia="楷体_GB2312" w:cs="楷体_GB2312"/>
          <w:highlight w:val="none"/>
        </w:rPr>
        <w:tab/>
      </w:r>
      <w:r>
        <w:rPr>
          <w:rFonts w:hint="eastAsia" w:ascii="楷体_GB2312" w:hAnsi="楷体_GB2312" w:eastAsia="楷体_GB2312" w:cs="楷体_GB2312"/>
          <w:highlight w:val="none"/>
        </w:rPr>
        <w:fldChar w:fldCharType="begin"/>
      </w:r>
      <w:r>
        <w:rPr>
          <w:rFonts w:hint="eastAsia" w:ascii="楷体_GB2312" w:hAnsi="楷体_GB2312" w:eastAsia="楷体_GB2312" w:cs="楷体_GB2312"/>
          <w:highlight w:val="none"/>
        </w:rPr>
        <w:instrText xml:space="preserve"> PAGEREF _Toc5610 \h </w:instrText>
      </w:r>
      <w:r>
        <w:rPr>
          <w:rFonts w:hint="eastAsia" w:ascii="楷体_GB2312" w:hAnsi="楷体_GB2312" w:eastAsia="楷体_GB2312" w:cs="楷体_GB2312"/>
          <w:highlight w:val="none"/>
        </w:rPr>
        <w:fldChar w:fldCharType="separate"/>
      </w:r>
      <w:r>
        <w:rPr>
          <w:rFonts w:hint="eastAsia" w:ascii="楷体_GB2312" w:hAnsi="楷体_GB2312" w:eastAsia="楷体_GB2312" w:cs="楷体_GB2312"/>
          <w:highlight w:val="none"/>
        </w:rPr>
        <w:t>2</w:t>
      </w:r>
      <w:r>
        <w:rPr>
          <w:rFonts w:hint="eastAsia" w:ascii="楷体_GB2312" w:hAnsi="楷体_GB2312" w:eastAsia="楷体_GB2312" w:cs="楷体_GB2312"/>
          <w:highlight w:val="none"/>
        </w:rPr>
        <w:fldChar w:fldCharType="end"/>
      </w:r>
      <w:r>
        <w:rPr>
          <w:rFonts w:hint="eastAsia" w:ascii="楷体_GB2312" w:hAnsi="楷体_GB2312" w:eastAsia="楷体_GB2312" w:cs="楷体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_Toc26095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szCs w:val="32"/>
          <w:highlight w:val="none"/>
        </w:rPr>
        <w:t>一、</w:t>
      </w:r>
      <w:r>
        <w:rPr>
          <w:rFonts w:hint="eastAsia" w:ascii="仿宋_GB2312" w:hAnsi="仿宋_GB2312" w:eastAsia="仿宋_GB2312" w:cs="仿宋_GB2312"/>
          <w:bCs/>
          <w:szCs w:val="32"/>
          <w:highlight w:val="none"/>
          <w:lang w:bidi="zh-TW"/>
        </w:rPr>
        <w:t>农业农村工作不断创新</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_Toc26095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_Toc8385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szCs w:val="32"/>
          <w:highlight w:val="none"/>
          <w:lang w:bidi="zh-TW"/>
        </w:rPr>
        <w:t>二、农业经济综合实力不断提升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_Toc8385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_Toc28573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szCs w:val="32"/>
          <w:highlight w:val="none"/>
          <w:lang w:bidi="zh-TW"/>
        </w:rPr>
        <w:t>三、农产品供给能力稳步提升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3</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_Toc17731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szCs w:val="22"/>
          <w:highlight w:val="none"/>
        </w:rPr>
        <w:t>四、农业现代化建设取得新进展</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_Toc17731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_Toc32021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szCs w:val="22"/>
          <w:highlight w:val="none"/>
        </w:rPr>
        <w:t>五、农村风貌发生新变化</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_Toc32021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_Toc27905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六、农业农村各项改革试点工作进展顺利</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_Toc27905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_Toc21000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七、农民收入快速增长</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_Toc21000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_Toc21445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八、城乡融合进一步推进</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_Toc21445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_Toc3720 </w:instrText>
      </w:r>
      <w:r>
        <w:rPr>
          <w:highlight w:val="none"/>
        </w:rPr>
        <w:fldChar w:fldCharType="separate"/>
      </w:r>
      <w:r>
        <w:rPr>
          <w:rFonts w:hint="eastAsia" w:ascii="楷体_GB2312" w:hAnsi="楷体_GB2312" w:eastAsia="楷体_GB2312" w:cs="楷体_GB2312"/>
          <w:highlight w:val="none"/>
        </w:rPr>
        <w:t>第二节  推进农业农村现代化面临困难挑战</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_Toc3720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4</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_Toc26367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一、农业高质量发展还存在短板</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_Toc26367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4</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_Toc10569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二、人才约束下农村可持续发展能力弱</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_Toc10569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5</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_Toc3473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三、城乡融合发展任务仍然艰巨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_Toc3473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5</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_Toc29876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四、农民持续增收压力增大</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_Toc29876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6</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_Toc776 </w:instrText>
      </w:r>
      <w:r>
        <w:rPr>
          <w:highlight w:val="none"/>
        </w:rPr>
        <w:fldChar w:fldCharType="separate"/>
      </w:r>
      <w:r>
        <w:rPr>
          <w:rFonts w:hint="eastAsia" w:ascii="楷体_GB2312" w:hAnsi="楷体_GB2312" w:eastAsia="楷体_GB2312" w:cs="楷体_GB2312"/>
          <w:highlight w:val="none"/>
        </w:rPr>
        <w:t>第三节  推进农业农村现代化的战略机遇</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_Toc776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_Toc19912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一、把握优先发展的政策机遇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_Toc19912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_Toc2430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二、抢抓我国构建“双循环”的历史机遇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_Toc2430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_Toc19175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三、抓牢“</w:t>
      </w:r>
      <w:r>
        <w:rPr>
          <w:rFonts w:hint="eastAsia" w:ascii="仿宋_GB2312" w:hAnsi="仿宋_GB2312" w:eastAsia="仿宋_GB2312" w:cs="仿宋_GB2312"/>
          <w:szCs w:val="20"/>
          <w:highlight w:val="none"/>
        </w:rPr>
        <w:t>融区强带</w:t>
      </w:r>
      <w:r>
        <w:rPr>
          <w:rFonts w:hint="eastAsia" w:ascii="仿宋_GB2312" w:hAnsi="仿宋_GB2312" w:eastAsia="仿宋_GB2312" w:cs="仿宋_GB2312"/>
          <w:bCs w:val="0"/>
          <w:highlight w:val="none"/>
        </w:rPr>
        <w:t>”的战略机遇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r>
        <w:rPr>
          <w:rFonts w:hint="eastAsia" w:ascii="仿宋_GB2312" w:hAnsi="仿宋_GB2312" w:eastAsia="仿宋_GB2312" w:cs="仿宋_GB2312"/>
          <w:highlight w:val="none"/>
          <w:lang w:val="en-US" w:eastAsia="zh-CN"/>
        </w:rPr>
        <w:t>8</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_Toc4032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四、把握全省“一核一带一区”发展格局</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r>
        <w:rPr>
          <w:rFonts w:hint="eastAsia" w:ascii="仿宋_GB2312" w:hAnsi="仿宋_GB2312" w:eastAsia="仿宋_GB2312" w:cs="仿宋_GB2312"/>
          <w:highlight w:val="none"/>
          <w:lang w:val="en-US" w:eastAsia="zh-CN"/>
        </w:rPr>
        <w:t>9</w:t>
      </w:r>
    </w:p>
    <w:p>
      <w:pPr>
        <w:pStyle w:val="12"/>
        <w:tabs>
          <w:tab w:val="right" w:leader="dot" w:pos="8473"/>
        </w:tabs>
        <w:spacing w:line="600" w:lineRule="exact"/>
        <w:ind w:left="0" w:leftChars="0"/>
        <w:rPr>
          <w:highlight w:val="none"/>
        </w:rPr>
        <w:sectPr>
          <w:footerReference r:id="rId6" w:type="default"/>
          <w:footerReference r:id="rId7" w:type="even"/>
          <w:pgSz w:w="11906" w:h="16838"/>
          <w:pgMar w:top="1927" w:right="1304" w:bottom="1531" w:left="1531" w:header="851" w:footer="1417" w:gutter="0"/>
          <w:pgNumType w:fmt="numberInDash" w:start="1"/>
          <w:cols w:space="720" w:num="1"/>
          <w:rtlGutter w:val="0"/>
          <w:docGrid w:type="lines" w:linePitch="312" w:charSpace="0"/>
        </w:sectPr>
      </w:pPr>
    </w:p>
    <w:p>
      <w:pPr>
        <w:pStyle w:val="12"/>
        <w:tabs>
          <w:tab w:val="right" w:leader="dot" w:pos="8473"/>
        </w:tabs>
        <w:spacing w:line="600" w:lineRule="exact"/>
        <w:ind w:left="0" w:leftChars="0"/>
        <w:rPr>
          <w:highlight w:val="none"/>
        </w:rPr>
      </w:pPr>
      <w:r>
        <w:rPr>
          <w:highlight w:val="none"/>
        </w:rPr>
        <w:fldChar w:fldCharType="begin"/>
      </w:r>
      <w:r>
        <w:rPr>
          <w:highlight w:val="none"/>
        </w:rPr>
        <w:instrText xml:space="preserve"> HYPERLINK \l _Toc12781 </w:instrText>
      </w:r>
      <w:r>
        <w:rPr>
          <w:highlight w:val="none"/>
        </w:rPr>
        <w:fldChar w:fldCharType="separate"/>
      </w:r>
      <w:r>
        <w:rPr>
          <w:rFonts w:hint="eastAsia" w:eastAsia="方正小标宋简体"/>
          <w:szCs w:val="36"/>
          <w:highlight w:val="none"/>
        </w:rPr>
        <w:t>第二章  求实创新 科学确定指导方针和目标</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_Toc12781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eastAsia="zh-CN"/>
        </w:rPr>
        <w:t>0</w:t>
      </w:r>
    </w:p>
    <w:p>
      <w:pPr>
        <w:pStyle w:val="12"/>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_Toc5482 </w:instrText>
      </w:r>
      <w:r>
        <w:rPr>
          <w:rFonts w:hint="eastAsia" w:ascii="仿宋_GB2312" w:hAnsi="仿宋_GB2312" w:eastAsia="仿宋_GB2312" w:cs="仿宋_GB2312"/>
          <w:highlight w:val="none"/>
        </w:rPr>
        <w:fldChar w:fldCharType="separate"/>
      </w:r>
      <w:r>
        <w:rPr>
          <w:rFonts w:hint="eastAsia" w:ascii="楷体_GB2312" w:hAnsi="楷体_GB2312" w:eastAsia="楷体_GB2312" w:cs="楷体_GB2312"/>
          <w:highlight w:val="none"/>
        </w:rPr>
        <w:t>第一节  指导思想</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_Toc5482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p>
    <w:p>
      <w:pPr>
        <w:pStyle w:val="12"/>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_Toc30807 </w:instrText>
      </w:r>
      <w:r>
        <w:rPr>
          <w:rFonts w:hint="eastAsia" w:ascii="仿宋_GB2312" w:hAnsi="仿宋_GB2312" w:eastAsia="仿宋_GB2312" w:cs="仿宋_GB2312"/>
          <w:highlight w:val="none"/>
        </w:rPr>
        <w:fldChar w:fldCharType="separate"/>
      </w:r>
      <w:r>
        <w:rPr>
          <w:rFonts w:hint="eastAsia" w:ascii="楷体_GB2312" w:hAnsi="楷体_GB2312" w:eastAsia="楷体_GB2312" w:cs="楷体_GB2312"/>
          <w:highlight w:val="none"/>
        </w:rPr>
        <w:t>第二节  基本原则</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_Toc30807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p>
    <w:p>
      <w:pPr>
        <w:pStyle w:val="12"/>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_Toc9492 </w:instrText>
      </w:r>
      <w:r>
        <w:rPr>
          <w:rFonts w:hint="eastAsia" w:ascii="仿宋_GB2312" w:hAnsi="仿宋_GB2312" w:eastAsia="仿宋_GB2312" w:cs="仿宋_GB2312"/>
          <w:highlight w:val="none"/>
        </w:rPr>
        <w:fldChar w:fldCharType="separate"/>
      </w:r>
      <w:r>
        <w:rPr>
          <w:rFonts w:hint="eastAsia" w:ascii="楷体_GB2312" w:hAnsi="楷体_GB2312" w:eastAsia="楷体_GB2312" w:cs="楷体_GB2312"/>
          <w:highlight w:val="none"/>
        </w:rPr>
        <w:t>第三节  发展目标</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_Toc9492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2</w:t>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_Toc25918 </w:instrText>
      </w:r>
      <w:r>
        <w:rPr>
          <w:highlight w:val="none"/>
        </w:rPr>
        <w:fldChar w:fldCharType="separate"/>
      </w:r>
      <w:r>
        <w:rPr>
          <w:rFonts w:eastAsia="方正小标宋简体"/>
          <w:szCs w:val="36"/>
          <w:highlight w:val="none"/>
        </w:rPr>
        <w:t>第三章  发挥发展优势，优化产业布局</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_Toc25918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eastAsia="zh-CN"/>
        </w:rPr>
        <w:t>6</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_Toc15566 </w:instrText>
      </w:r>
      <w:r>
        <w:rPr>
          <w:highlight w:val="none"/>
        </w:rPr>
        <w:fldChar w:fldCharType="separate"/>
      </w:r>
      <w:r>
        <w:rPr>
          <w:rFonts w:hint="eastAsia" w:ascii="楷体_GB2312" w:hAnsi="楷体_GB2312" w:eastAsia="楷体_GB2312" w:cs="楷体_GB2312"/>
          <w:highlight w:val="none"/>
        </w:rPr>
        <w:t>第一节  产业定位</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_Toc15566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eastAsia="zh-CN"/>
        </w:rPr>
        <w:t>6</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_Toc27751 </w:instrText>
      </w:r>
      <w:r>
        <w:rPr>
          <w:highlight w:val="none"/>
        </w:rPr>
        <w:fldChar w:fldCharType="separate"/>
      </w:r>
      <w:r>
        <w:rPr>
          <w:rFonts w:hint="eastAsia" w:ascii="楷体_GB2312" w:hAnsi="楷体_GB2312" w:eastAsia="楷体_GB2312" w:cs="楷体_GB2312"/>
          <w:highlight w:val="none"/>
        </w:rPr>
        <w:t>第二节  重点产业发展布局</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_Toc27751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2</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_Toc32625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一、优质粮油产业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2</w:t>
      </w:r>
      <w:r>
        <w:rPr>
          <w:rFonts w:hint="eastAsia" w:ascii="仿宋_GB2312" w:hAnsi="仿宋_GB2312" w:eastAsia="仿宋_GB2312" w:cs="仿宋_GB2312"/>
          <w:highlight w:val="none"/>
          <w:lang w:val="en-US"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_Toc21191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二、畜牧产业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2</w:t>
      </w:r>
      <w:r>
        <w:rPr>
          <w:rFonts w:hint="eastAsia" w:ascii="仿宋_GB2312" w:hAnsi="仿宋_GB2312" w:eastAsia="仿宋_GB2312" w:cs="仿宋_GB2312"/>
          <w:highlight w:val="none"/>
          <w:lang w:val="en-US" w:eastAsia="zh-CN"/>
        </w:rPr>
        <w:t>8</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_Toc7573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三、家禽产业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3</w:t>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_Toc28710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四、亚热带水果产业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_Toc28710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_Toc6963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五、渔业产业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_Toc6963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_Toc16063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六、蔬菜产业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_Toc16063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4</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_Toc32559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七、南药产业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_Toc32559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3</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5</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_Toc12568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八、预制菜产业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3</w:t>
      </w:r>
      <w:r>
        <w:rPr>
          <w:rFonts w:hint="eastAsia" w:ascii="仿宋_GB2312" w:hAnsi="仿宋_GB2312" w:eastAsia="仿宋_GB2312" w:cs="仿宋_GB2312"/>
          <w:highlight w:val="none"/>
          <w:lang w:val="en-US" w:eastAsia="zh-CN"/>
        </w:rPr>
        <w:t>6</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_Toc9313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九、饲料工业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3</w:t>
      </w:r>
      <w:r>
        <w:rPr>
          <w:rFonts w:hint="eastAsia" w:ascii="仿宋_GB2312" w:hAnsi="仿宋_GB2312" w:eastAsia="仿宋_GB2312" w:cs="仿宋_GB2312"/>
          <w:highlight w:val="none"/>
          <w:lang w:val="en-US"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_Toc18280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highlight w:val="none"/>
        </w:rPr>
        <w:t>十、其他特色产业</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3</w:t>
      </w:r>
      <w:r>
        <w:rPr>
          <w:rFonts w:hint="eastAsia" w:ascii="仿宋_GB2312" w:hAnsi="仿宋_GB2312" w:eastAsia="仿宋_GB2312" w:cs="仿宋_GB2312"/>
          <w:highlight w:val="none"/>
          <w:lang w:val="en-US" w:eastAsia="zh-CN"/>
        </w:rPr>
        <w:t>8</w:t>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_Toc24545 </w:instrText>
      </w:r>
      <w:r>
        <w:rPr>
          <w:highlight w:val="none"/>
        </w:rPr>
        <w:fldChar w:fldCharType="separate"/>
      </w:r>
      <w:r>
        <w:rPr>
          <w:rFonts w:eastAsia="方正小标宋简体"/>
          <w:szCs w:val="36"/>
          <w:highlight w:val="none"/>
        </w:rPr>
        <w:t>第四章  高质量发展 促进精细农业现代化稳产保供</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_Toc24545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val="en-US" w:eastAsia="zh-CN"/>
        </w:rPr>
        <w:t>0</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_Toc26938 </w:instrText>
      </w:r>
      <w:r>
        <w:rPr>
          <w:highlight w:val="none"/>
        </w:rPr>
        <w:fldChar w:fldCharType="separate"/>
      </w:r>
      <w:r>
        <w:rPr>
          <w:rFonts w:hint="eastAsia" w:ascii="楷体_GB2312" w:hAnsi="楷体_GB2312" w:eastAsia="楷体_GB2312" w:cs="楷体_GB2312"/>
          <w:highlight w:val="none"/>
        </w:rPr>
        <w:t>第一节  建设精深化现代农业产业体系</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_Toc26938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_Toc3735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一、持续推进“茂名粮安工程”</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_Toc3735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_Toc27959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二、促进产业集群聚集发展</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_Toc27959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_Toc27743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三、培育新产业新业态</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_Toc27743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3</w:t>
      </w:r>
    </w:p>
    <w:p>
      <w:pPr>
        <w:pStyle w:val="8"/>
        <w:tabs>
          <w:tab w:val="right" w:leader="dot" w:pos="8473"/>
        </w:tabs>
        <w:spacing w:line="600" w:lineRule="exact"/>
        <w:ind w:left="0" w:leftChars="0"/>
        <w:rPr>
          <w:rFonts w:hint="eastAsia" w:ascii="仿宋_GB2312" w:hAnsi="仿宋_GB2312" w:eastAsia="仿宋_GB2312" w:cs="仿宋_GB2312"/>
          <w:highlight w:val="none"/>
        </w:rPr>
        <w:sectPr>
          <w:footerReference r:id="rId8" w:type="default"/>
          <w:pgSz w:w="11906" w:h="16838"/>
          <w:pgMar w:top="1927" w:right="1304" w:bottom="1531" w:left="1531" w:header="851" w:footer="1417" w:gutter="0"/>
          <w:pgNumType w:fmt="numberInDash"/>
          <w:cols w:space="720" w:num="1"/>
          <w:rtlGutter w:val="0"/>
          <w:docGrid w:type="lines" w:linePitch="312" w:charSpace="0"/>
        </w:sectPr>
      </w:pPr>
    </w:p>
    <w:p>
      <w:pPr>
        <w:pStyle w:val="8"/>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_Toc18496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四、构建开放合作产业链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_Toc18496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4</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_Toc26165 </w:instrText>
      </w:r>
      <w:r>
        <w:rPr>
          <w:highlight w:val="none"/>
        </w:rPr>
        <w:fldChar w:fldCharType="separate"/>
      </w:r>
      <w:r>
        <w:rPr>
          <w:rFonts w:hint="eastAsia" w:ascii="楷体_GB2312" w:hAnsi="楷体_GB2312" w:eastAsia="楷体_GB2312" w:cs="楷体_GB2312"/>
          <w:highlight w:val="none"/>
        </w:rPr>
        <w:t>第二节  建设精准化现代农业生产体系</w:t>
      </w:r>
      <w:r>
        <w:rPr>
          <w:rFonts w:hint="eastAsia" w:ascii="楷体_GB2312" w:hAnsi="楷体_GB2312" w:eastAsia="楷体_GB2312" w:cs="楷体_GB2312"/>
          <w:highlight w:val="none"/>
          <w:lang w:val="en-US" w:eastAsia="zh-CN"/>
        </w:rPr>
        <w:t xml:space="preserve"> </w:t>
      </w:r>
      <w:r>
        <w:rPr>
          <w:highlight w:val="none"/>
        </w:rPr>
        <w:tab/>
      </w:r>
      <w:r>
        <w:rPr>
          <w:highlight w:val="none"/>
        </w:rPr>
        <w:fldChar w:fldCharType="end"/>
      </w:r>
      <w:r>
        <w:rPr>
          <w:rFonts w:hint="eastAsia" w:ascii="仿宋_GB2312" w:hAnsi="仿宋_GB2312" w:eastAsia="仿宋_GB2312" w:cs="仿宋_GB2312"/>
          <w:highlight w:val="none"/>
          <w:lang w:eastAsia="zh-CN"/>
        </w:rPr>
        <w:t>4</w:t>
      </w:r>
      <w:r>
        <w:rPr>
          <w:rFonts w:hint="eastAsia" w:ascii="仿宋_GB2312" w:hAnsi="仿宋_GB2312" w:eastAsia="仿宋_GB2312" w:cs="仿宋_GB2312"/>
          <w:highlight w:val="none"/>
          <w:lang w:val="en-US" w:eastAsia="zh-CN"/>
        </w:rPr>
        <w:t>6</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_Toc5532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一、坚持农业绿色发展</w:t>
      </w:r>
      <w:r>
        <w:rPr>
          <w:rFonts w:hint="eastAsia" w:ascii="仿宋_GB2312" w:hAnsi="仿宋_GB2312" w:eastAsia="仿宋_GB2312" w:cs="仿宋_GB2312"/>
          <w:bCs w:val="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4</w:t>
      </w:r>
      <w:r>
        <w:rPr>
          <w:rFonts w:hint="eastAsia" w:ascii="仿宋_GB2312" w:hAnsi="仿宋_GB2312" w:eastAsia="仿宋_GB2312" w:cs="仿宋_GB2312"/>
          <w:highlight w:val="none"/>
          <w:lang w:val="en-US" w:eastAsia="zh-CN"/>
        </w:rPr>
        <w:t>6</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_Toc545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二、全面实施数字农业行动</w:t>
      </w:r>
      <w:r>
        <w:rPr>
          <w:rFonts w:hint="eastAsia" w:ascii="仿宋_GB2312" w:hAnsi="仿宋_GB2312" w:eastAsia="仿宋_GB2312" w:cs="仿宋_GB2312"/>
          <w:bCs w:val="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4</w:t>
      </w:r>
      <w:r>
        <w:rPr>
          <w:rFonts w:hint="eastAsia" w:ascii="仿宋_GB2312" w:hAnsi="仿宋_GB2312" w:eastAsia="仿宋_GB2312" w:cs="仿宋_GB2312"/>
          <w:highlight w:val="none"/>
          <w:lang w:val="en-US" w:eastAsia="zh-CN"/>
        </w:rPr>
        <w:t>9</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_Toc17428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三、促进科技产业一体化发展</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_Toc17428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1</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_Toc16549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四、改善提升设施装备条件</w:t>
      </w:r>
      <w:r>
        <w:rPr>
          <w:rFonts w:hint="eastAsia" w:ascii="仿宋_GB2312" w:hAnsi="仿宋_GB2312" w:eastAsia="仿宋_GB2312" w:cs="仿宋_GB2312"/>
          <w:bCs w:val="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_Toc16549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3</w:t>
      </w:r>
    </w:p>
    <w:p>
      <w:pPr>
        <w:pStyle w:val="8"/>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_Toc14561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五、全面实施质量强农战略</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5</w:t>
      </w:r>
      <w:r>
        <w:rPr>
          <w:rFonts w:hint="eastAsia" w:ascii="仿宋_GB2312" w:hAnsi="仿宋_GB2312" w:eastAsia="仿宋_GB2312" w:cs="仿宋_GB2312"/>
          <w:highlight w:val="none"/>
          <w:lang w:val="en-US" w:eastAsia="zh-CN"/>
        </w:rPr>
        <w:t>5</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_Toc9941 </w:instrText>
      </w:r>
      <w:r>
        <w:rPr>
          <w:highlight w:val="none"/>
        </w:rPr>
        <w:fldChar w:fldCharType="separate"/>
      </w:r>
      <w:r>
        <w:rPr>
          <w:rFonts w:hint="eastAsia" w:ascii="楷体_GB2312" w:hAnsi="楷体_GB2312" w:eastAsia="楷体_GB2312" w:cs="楷体_GB2312"/>
          <w:highlight w:val="none"/>
        </w:rPr>
        <w:t>第三节  建设精益化现代农业经营体系</w:t>
      </w:r>
      <w:r>
        <w:rPr>
          <w:rFonts w:hint="eastAsia" w:ascii="楷体_GB2312" w:hAnsi="楷体_GB2312" w:eastAsia="楷体_GB2312" w:cs="楷体_GB2312"/>
          <w:highlight w:val="none"/>
          <w:lang w:val="en-US" w:eastAsia="zh-CN"/>
        </w:rPr>
        <w:t xml:space="preserve"> </w:t>
      </w:r>
      <w:r>
        <w:rPr>
          <w:highlight w:val="none"/>
        </w:rPr>
        <w:tab/>
      </w:r>
      <w:r>
        <w:rPr>
          <w:highlight w:val="none"/>
        </w:rPr>
        <w:fldChar w:fldCharType="end"/>
      </w:r>
      <w:r>
        <w:rPr>
          <w:rFonts w:hint="eastAsia" w:ascii="仿宋_GB2312" w:hAnsi="仿宋_GB2312" w:eastAsia="仿宋_GB2312" w:cs="仿宋_GB2312"/>
          <w:highlight w:val="none"/>
          <w:lang w:eastAsia="zh-CN"/>
        </w:rPr>
        <w:t>5</w:t>
      </w:r>
      <w:r>
        <w:rPr>
          <w:rFonts w:hint="eastAsia" w:ascii="仿宋_GB2312" w:hAnsi="仿宋_GB2312" w:eastAsia="仿宋_GB2312" w:cs="仿宋_GB2312"/>
          <w:highlight w:val="none"/>
          <w:lang w:val="en-US"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_Toc14256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一、培育壮大新型农业经营主体</w:t>
      </w:r>
      <w:r>
        <w:rPr>
          <w:rFonts w:hint="eastAsia" w:ascii="仿宋_GB2312" w:hAnsi="仿宋_GB2312" w:eastAsia="仿宋_GB2312" w:cs="仿宋_GB2312"/>
          <w:bCs w:val="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5</w:t>
      </w:r>
      <w:r>
        <w:rPr>
          <w:rFonts w:hint="eastAsia" w:ascii="仿宋_GB2312" w:hAnsi="仿宋_GB2312" w:eastAsia="仿宋_GB2312" w:cs="仿宋_GB2312"/>
          <w:highlight w:val="none"/>
          <w:lang w:val="en-US"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_Toc6375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二、完善新型助农服务体系</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5</w:t>
      </w:r>
      <w:r>
        <w:rPr>
          <w:rFonts w:hint="eastAsia" w:ascii="仿宋_GB2312" w:hAnsi="仿宋_GB2312" w:eastAsia="仿宋_GB2312" w:cs="仿宋_GB2312"/>
          <w:highlight w:val="none"/>
          <w:lang w:val="en-US" w:eastAsia="zh-CN"/>
        </w:rPr>
        <w:t>8</w:t>
      </w:r>
    </w:p>
    <w:p>
      <w:pPr>
        <w:pStyle w:val="8"/>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_Toc3613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三、完善农业社会化服务体系</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5</w:t>
      </w:r>
      <w:r>
        <w:rPr>
          <w:rFonts w:hint="eastAsia" w:ascii="仿宋_GB2312" w:hAnsi="仿宋_GB2312" w:eastAsia="仿宋_GB2312" w:cs="仿宋_GB2312"/>
          <w:highlight w:val="none"/>
          <w:lang w:val="en-US" w:eastAsia="zh-CN"/>
        </w:rPr>
        <w:t>9</w:t>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_Toc10077 </w:instrText>
      </w:r>
      <w:r>
        <w:rPr>
          <w:highlight w:val="none"/>
        </w:rPr>
        <w:fldChar w:fldCharType="separate"/>
      </w:r>
      <w:r>
        <w:rPr>
          <w:rFonts w:eastAsia="方正小标宋简体"/>
          <w:szCs w:val="36"/>
          <w:highlight w:val="none"/>
        </w:rPr>
        <w:t>第五章  塑造精美农村 实施岭南特色乡村建设行动</w:t>
      </w:r>
      <w:r>
        <w:rPr>
          <w:rFonts w:hint="eastAsia" w:eastAsia="方正小标宋简体"/>
          <w:szCs w:val="36"/>
          <w:highlight w:val="none"/>
          <w:lang w:val="en-US" w:eastAsia="zh-CN"/>
        </w:rPr>
        <w:t xml:space="preserve"> </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_Toc10077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6</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val="en-US" w:eastAsia="zh-CN"/>
        </w:rPr>
        <w:t>2</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_Toc26278 </w:instrText>
      </w:r>
      <w:r>
        <w:rPr>
          <w:highlight w:val="none"/>
        </w:rPr>
        <w:fldChar w:fldCharType="separate"/>
      </w:r>
      <w:r>
        <w:rPr>
          <w:rFonts w:hint="eastAsia" w:ascii="楷体_GB2312" w:hAnsi="楷体_GB2312" w:eastAsia="楷体_GB2312" w:cs="楷体_GB2312"/>
          <w:highlight w:val="none"/>
        </w:rPr>
        <w:t>第一节  全面推进乡村风貌提升</w:t>
      </w:r>
      <w:r>
        <w:rPr>
          <w:rFonts w:hint="eastAsia" w:ascii="楷体_GB2312" w:hAnsi="楷体_GB2312" w:eastAsia="楷体_GB2312" w:cs="楷体_GB2312"/>
          <w:highlight w:val="none"/>
          <w:lang w:val="en-US" w:eastAsia="zh-CN"/>
        </w:rPr>
        <w:t xml:space="preserve"> </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_Toc26278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6</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val="en-US"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_Toc26268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w:t>
      </w:r>
      <w:r>
        <w:rPr>
          <w:rFonts w:hint="eastAsia" w:ascii="仿宋_GB2312" w:hAnsi="仿宋_GB2312" w:eastAsia="仿宋_GB2312" w:cs="仿宋_GB2312"/>
          <w:szCs w:val="20"/>
          <w:highlight w:val="none"/>
        </w:rPr>
        <w:t>大力推进村庄规划提升</w:t>
      </w:r>
      <w:r>
        <w:rPr>
          <w:rFonts w:hint="eastAsia" w:ascii="仿宋_GB2312" w:hAnsi="仿宋_GB2312" w:eastAsia="仿宋_GB2312" w:cs="仿宋_GB2312"/>
          <w:szCs w:val="2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_Toc26268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_Toc20604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二、切实抓好农房管控</w:t>
      </w:r>
      <w:r>
        <w:rPr>
          <w:rFonts w:hint="eastAsia" w:ascii="仿宋_GB2312" w:hAnsi="仿宋_GB2312" w:eastAsia="仿宋_GB2312" w:cs="仿宋_GB2312"/>
          <w:bCs w:val="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_Toc20604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3</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_Toc2723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三、着力提升乡村风貌</w:t>
      </w:r>
      <w:r>
        <w:rPr>
          <w:rFonts w:hint="eastAsia" w:ascii="仿宋_GB2312" w:hAnsi="仿宋_GB2312" w:eastAsia="仿宋_GB2312" w:cs="仿宋_GB2312"/>
          <w:bCs w:val="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_Toc2723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3</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_Toc9483 </w:instrText>
      </w:r>
      <w:r>
        <w:rPr>
          <w:highlight w:val="none"/>
        </w:rPr>
        <w:fldChar w:fldCharType="separate"/>
      </w:r>
      <w:r>
        <w:rPr>
          <w:rFonts w:hint="eastAsia" w:ascii="楷体_GB2312" w:hAnsi="楷体_GB2312" w:eastAsia="楷体_GB2312" w:cs="楷体_GB2312"/>
          <w:highlight w:val="none"/>
        </w:rPr>
        <w:t>第二节  实施农村人居环境整治提升五年行动</w:t>
      </w:r>
      <w:r>
        <w:rPr>
          <w:rFonts w:hint="eastAsia" w:ascii="楷体_GB2312" w:hAnsi="楷体_GB2312" w:eastAsia="楷体_GB2312" w:cs="楷体_GB2312"/>
          <w:highlight w:val="none"/>
          <w:lang w:val="en-US" w:eastAsia="zh-CN"/>
        </w:rPr>
        <w:t xml:space="preserve"> </w:t>
      </w:r>
      <w:r>
        <w:rPr>
          <w:highlight w:val="none"/>
        </w:rPr>
        <w:tab/>
      </w:r>
      <w:r>
        <w:rPr>
          <w:highlight w:val="none"/>
        </w:rPr>
        <w:fldChar w:fldCharType="end"/>
      </w:r>
      <w:r>
        <w:rPr>
          <w:rFonts w:hint="eastAsia" w:ascii="仿宋_GB2312" w:hAnsi="仿宋_GB2312" w:eastAsia="仿宋_GB2312" w:cs="仿宋_GB2312"/>
          <w:highlight w:val="none"/>
          <w:lang w:eastAsia="zh-CN"/>
        </w:rPr>
        <w:t>6</w:t>
      </w:r>
      <w:r>
        <w:rPr>
          <w:rFonts w:hint="eastAsia" w:ascii="仿宋_GB2312" w:hAnsi="仿宋_GB2312" w:eastAsia="仿宋_GB2312" w:cs="仿宋_GB2312"/>
          <w:highlight w:val="none"/>
          <w:lang w:val="en-US" w:eastAsia="zh-CN"/>
        </w:rPr>
        <w:t>6</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_Toc21818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w:t>
      </w:r>
      <w:r>
        <w:rPr>
          <w:rFonts w:hint="eastAsia" w:ascii="仿宋_GB2312" w:hAnsi="仿宋_GB2312" w:eastAsia="仿宋_GB2312" w:cs="仿宋_GB2312"/>
          <w:szCs w:val="20"/>
          <w:highlight w:val="none"/>
        </w:rPr>
        <w:t>实施村容村貌整治提升行动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6</w:t>
      </w:r>
      <w:r>
        <w:rPr>
          <w:rFonts w:hint="eastAsia" w:ascii="仿宋_GB2312" w:hAnsi="仿宋_GB2312" w:eastAsia="仿宋_GB2312" w:cs="仿宋_GB2312"/>
          <w:highlight w:val="none"/>
          <w:lang w:val="en-US" w:eastAsia="zh-CN"/>
        </w:rPr>
        <w:t>6</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_Toc8166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w:t>
      </w:r>
      <w:r>
        <w:rPr>
          <w:rFonts w:hint="eastAsia" w:ascii="仿宋_GB2312" w:hAnsi="仿宋_GB2312" w:eastAsia="仿宋_GB2312" w:cs="仿宋_GB2312"/>
          <w:szCs w:val="20"/>
          <w:highlight w:val="none"/>
        </w:rPr>
        <w:t>实施农村厕所革命行动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67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_Toc25064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w:t>
      </w:r>
      <w:r>
        <w:rPr>
          <w:rFonts w:hint="eastAsia" w:ascii="仿宋_GB2312" w:hAnsi="仿宋_GB2312" w:eastAsia="仿宋_GB2312" w:cs="仿宋_GB2312"/>
          <w:szCs w:val="20"/>
          <w:highlight w:val="none"/>
        </w:rPr>
        <w:t>实施农村生活垃圾治理行动</w:t>
      </w:r>
      <w:r>
        <w:rPr>
          <w:rFonts w:hint="eastAsia" w:ascii="仿宋_GB2312" w:hAnsi="仿宋_GB2312" w:eastAsia="仿宋_GB2312" w:cs="仿宋_GB2312"/>
          <w:szCs w:val="2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6</w:t>
      </w:r>
      <w:r>
        <w:rPr>
          <w:rFonts w:hint="eastAsia" w:ascii="仿宋_GB2312" w:hAnsi="仿宋_GB2312" w:eastAsia="仿宋_GB2312" w:cs="仿宋_GB2312"/>
          <w:highlight w:val="none"/>
          <w:lang w:val="en-US" w:eastAsia="zh-CN"/>
        </w:rPr>
        <w:t>7</w:t>
      </w:r>
    </w:p>
    <w:p>
      <w:pPr>
        <w:pStyle w:val="8"/>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_Toc23236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四、实施农村生活污水治理攻坚行动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68</w:t>
      </w:r>
      <w:r>
        <w:rPr>
          <w:rFonts w:hint="eastAsia" w:ascii="仿宋_GB2312" w:hAnsi="仿宋_GB2312" w:eastAsia="仿宋_GB2312" w:cs="仿宋_GB2312"/>
          <w:highlight w:val="none"/>
        </w:rPr>
        <w:fldChar w:fldCharType="end"/>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_Toc1210 </w:instrText>
      </w:r>
      <w:r>
        <w:rPr>
          <w:highlight w:val="none"/>
        </w:rPr>
        <w:fldChar w:fldCharType="separate"/>
      </w:r>
      <w:r>
        <w:rPr>
          <w:rFonts w:hint="eastAsia" w:ascii="楷体_GB2312" w:hAnsi="楷体_GB2312" w:eastAsia="楷体_GB2312" w:cs="楷体_GB2312"/>
          <w:highlight w:val="none"/>
        </w:rPr>
        <w:t>第三节  建设乡村便捷高效生活圈</w:t>
      </w:r>
      <w:r>
        <w:rPr>
          <w:rFonts w:hint="eastAsia" w:ascii="楷体_GB2312" w:hAnsi="楷体_GB2312" w:eastAsia="楷体_GB2312" w:cs="楷体_GB2312"/>
          <w:highlight w:val="none"/>
          <w:lang w:val="en-US" w:eastAsia="zh-CN"/>
        </w:rPr>
        <w:t xml:space="preserve"> </w:t>
      </w:r>
      <w:r>
        <w:rPr>
          <w:rFonts w:hint="eastAsia" w:ascii="仿宋_GB2312" w:hAnsi="仿宋_GB2312" w:eastAsia="仿宋_GB2312" w:cs="仿宋_GB2312"/>
        </w:rPr>
        <w:tab/>
      </w:r>
      <w:r>
        <w:rPr>
          <w:highlight w:val="none"/>
        </w:rPr>
        <w:fldChar w:fldCharType="end"/>
      </w:r>
      <w:r>
        <w:rPr>
          <w:rFonts w:hint="eastAsia" w:ascii="仿宋_GB2312" w:hAnsi="仿宋_GB2312" w:eastAsia="仿宋_GB2312" w:cs="仿宋_GB2312"/>
          <w:highlight w:val="none"/>
          <w:lang w:eastAsia="zh-CN"/>
        </w:rPr>
        <w:t>6</w:t>
      </w:r>
      <w:r>
        <w:rPr>
          <w:rFonts w:hint="eastAsia" w:ascii="仿宋_GB2312" w:hAnsi="仿宋_GB2312" w:eastAsia="仿宋_GB2312" w:cs="仿宋_GB2312"/>
          <w:highlight w:val="none"/>
          <w:lang w:val="en-US" w:eastAsia="zh-CN"/>
        </w:rPr>
        <w:t>9</w:t>
      </w:r>
    </w:p>
    <w:p>
      <w:pPr>
        <w:pStyle w:val="8"/>
        <w:tabs>
          <w:tab w:val="right" w:leader="dot" w:pos="8473"/>
        </w:tabs>
        <w:spacing w:line="600" w:lineRule="exact"/>
        <w:ind w:left="0" w:leftChars="0"/>
        <w:rPr>
          <w:rFonts w:hint="eastAsia" w:ascii="仿宋_GB2312" w:hAnsi="仿宋_GB2312" w:eastAsia="仿宋_GB2312" w:cs="仿宋_GB2312"/>
          <w:highlight w:val="none"/>
        </w:rPr>
        <w:sectPr>
          <w:footerReference r:id="rId9" w:type="default"/>
          <w:pgSz w:w="11906" w:h="16838"/>
          <w:pgMar w:top="1927" w:right="1304" w:bottom="1531" w:left="1531" w:header="851" w:footer="1417" w:gutter="0"/>
          <w:pgNumType w:fmt="numberInDash"/>
          <w:cols w:space="720" w:num="1"/>
          <w:rtlGutter w:val="0"/>
          <w:docGrid w:type="lines" w:linePitch="312" w:charSpace="0"/>
        </w:sectPr>
      </w:pP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_Toc5550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一、实施村庄基础设施建设工程</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6</w:t>
      </w:r>
      <w:r>
        <w:rPr>
          <w:rFonts w:hint="eastAsia" w:ascii="仿宋_GB2312" w:hAnsi="仿宋_GB2312" w:eastAsia="仿宋_GB2312" w:cs="仿宋_GB2312"/>
          <w:highlight w:val="none"/>
          <w:lang w:val="en-US" w:eastAsia="zh-CN"/>
        </w:rPr>
        <w:t>9</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_Toc4347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二、提升农村公共服务能力条件</w:t>
      </w:r>
      <w:r>
        <w:rPr>
          <w:rFonts w:hint="eastAsia" w:ascii="仿宋_GB2312" w:hAnsi="仿宋_GB2312" w:eastAsia="仿宋_GB2312" w:cs="仿宋_GB2312"/>
          <w:bCs w:val="0"/>
          <w:highlight w:val="none"/>
          <w:lang w:val="en-US" w:eastAsia="zh-CN"/>
        </w:rPr>
        <w:t xml:space="preserve"> </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7</w:t>
      </w:r>
      <w:r>
        <w:rPr>
          <w:rFonts w:hint="eastAsia" w:ascii="仿宋_GB2312" w:hAnsi="仿宋_GB2312" w:eastAsia="仿宋_GB2312" w:cs="仿宋_GB2312"/>
          <w:highlight w:val="none"/>
          <w:lang w:val="en-US" w:eastAsia="zh-CN"/>
        </w:rPr>
        <w:t>3</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_Toc17538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三、开展</w:t>
      </w:r>
      <w:r>
        <w:rPr>
          <w:rFonts w:hint="eastAsia" w:ascii="仿宋_GB2312" w:hAnsi="仿宋_GB2312" w:eastAsia="仿宋_GB2312" w:cs="仿宋_GB2312"/>
          <w:szCs w:val="20"/>
          <w:highlight w:val="none"/>
        </w:rPr>
        <w:t>美丽圩镇建设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7</w:t>
      </w:r>
      <w:r>
        <w:rPr>
          <w:rFonts w:hint="eastAsia" w:ascii="仿宋_GB2312" w:hAnsi="仿宋_GB2312" w:eastAsia="仿宋_GB2312" w:cs="仿宋_GB2312"/>
          <w:highlight w:val="none"/>
          <w:lang w:val="en-US" w:eastAsia="zh-CN"/>
        </w:rPr>
        <w:t>7</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_Toc27090 </w:instrText>
      </w:r>
      <w:r>
        <w:rPr>
          <w:highlight w:val="none"/>
        </w:rPr>
        <w:fldChar w:fldCharType="separate"/>
      </w:r>
      <w:r>
        <w:rPr>
          <w:rFonts w:hint="eastAsia" w:ascii="楷体_GB2312" w:hAnsi="楷体_GB2312" w:eastAsia="楷体_GB2312" w:cs="楷体_GB2312"/>
          <w:highlight w:val="none"/>
        </w:rPr>
        <w:t>第四节  修复保护农业农村生态环境</w:t>
      </w:r>
      <w:r>
        <w:rPr>
          <w:highlight w:val="none"/>
        </w:rPr>
        <w:tab/>
      </w:r>
      <w:r>
        <w:rPr>
          <w:rFonts w:hint="eastAsia"/>
          <w:highlight w:val="none"/>
          <w:lang w:val="en-US" w:eastAsia="zh-CN"/>
        </w:rPr>
        <w:t xml:space="preserve"> </w:t>
      </w:r>
      <w:r>
        <w:rPr>
          <w:highlight w:val="none"/>
        </w:rPr>
        <w:fldChar w:fldCharType="end"/>
      </w:r>
      <w:r>
        <w:rPr>
          <w:rFonts w:hint="eastAsia" w:ascii="仿宋_GB2312" w:hAnsi="仿宋_GB2312" w:eastAsia="仿宋_GB2312" w:cs="仿宋_GB2312"/>
          <w:highlight w:val="none"/>
          <w:lang w:eastAsia="zh-CN"/>
        </w:rPr>
        <w:t>7</w:t>
      </w:r>
      <w:r>
        <w:rPr>
          <w:rFonts w:hint="eastAsia" w:ascii="仿宋_GB2312" w:hAnsi="仿宋_GB2312" w:eastAsia="仿宋_GB2312" w:cs="仿宋_GB2312"/>
          <w:highlight w:val="none"/>
          <w:lang w:val="en-US" w:eastAsia="zh-CN"/>
        </w:rPr>
        <w:t>9</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_Toc19613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一、加强农村生态保护</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7</w:t>
      </w:r>
      <w:r>
        <w:rPr>
          <w:rFonts w:hint="eastAsia" w:ascii="仿宋_GB2312" w:hAnsi="仿宋_GB2312" w:eastAsia="仿宋_GB2312" w:cs="仿宋_GB2312"/>
          <w:highlight w:val="none"/>
          <w:lang w:val="en-US" w:eastAsia="zh-CN"/>
        </w:rPr>
        <w:t>9</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_Toc10070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二、逐步修复农业农村生态环境</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_Toc10070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8</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_Toc19305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三、保护与修复海湾海岸带</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_Toc19305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8</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_Toc17638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四、健全生态保护、环境治理的长效机制</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_Toc17638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8</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1</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_Toc24573 </w:instrText>
      </w:r>
      <w:r>
        <w:rPr>
          <w:highlight w:val="none"/>
        </w:rPr>
        <w:fldChar w:fldCharType="separate"/>
      </w:r>
      <w:r>
        <w:rPr>
          <w:rFonts w:hint="eastAsia" w:ascii="楷体_GB2312" w:hAnsi="楷体_GB2312" w:eastAsia="楷体_GB2312" w:cs="楷体_GB2312"/>
          <w:highlight w:val="none"/>
        </w:rPr>
        <w:t>第五节  创新提升乡村治理体系</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_Toc24573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val="en-US" w:eastAsia="zh-CN"/>
        </w:rPr>
        <w:t>8</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val="en-US"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_Toc3586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一、提升党建引领乡村治理</w:t>
      </w:r>
      <w:r>
        <w:rPr>
          <w:rFonts w:hint="eastAsia" w:ascii="仿宋_GB2312" w:hAnsi="仿宋_GB2312" w:eastAsia="仿宋_GB2312" w:cs="仿宋_GB2312"/>
          <w:bCs w:val="0"/>
          <w:highlight w:val="none"/>
          <w:lang w:val="en-US" w:eastAsia="zh-CN"/>
        </w:rPr>
        <w:t>水平</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_Toc3586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val="en-US" w:eastAsia="zh-CN"/>
        </w:rPr>
        <w:t>8</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_Toc1093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二、完善农村公共事务管理服务</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8</w:t>
      </w:r>
      <w:r>
        <w:rPr>
          <w:rFonts w:hint="eastAsia" w:ascii="仿宋_GB2312" w:hAnsi="仿宋_GB2312" w:eastAsia="仿宋_GB2312" w:cs="仿宋_GB2312"/>
          <w:highlight w:val="none"/>
          <w:lang w:val="en-US" w:eastAsia="zh-CN"/>
        </w:rPr>
        <w:t>5</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_Toc26101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三、加强基层治理能力条件建设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8</w:t>
      </w:r>
      <w:r>
        <w:rPr>
          <w:rFonts w:hint="eastAsia" w:ascii="仿宋_GB2312" w:hAnsi="仿宋_GB2312" w:eastAsia="仿宋_GB2312" w:cs="仿宋_GB2312"/>
          <w:highlight w:val="none"/>
          <w:lang w:val="en-US" w:eastAsia="zh-CN"/>
        </w:rPr>
        <w:t>6</w:t>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_Toc25387 </w:instrText>
      </w:r>
      <w:r>
        <w:rPr>
          <w:highlight w:val="none"/>
        </w:rPr>
        <w:fldChar w:fldCharType="separate"/>
      </w:r>
      <w:r>
        <w:rPr>
          <w:rFonts w:eastAsia="方正小标宋简体"/>
          <w:szCs w:val="36"/>
          <w:highlight w:val="none"/>
        </w:rPr>
        <w:t>第六章  培养精勤农民 全力打造农业农村高质量发展主力军</w:t>
      </w:r>
      <w:r>
        <w:rPr>
          <w:highlight w:val="none"/>
        </w:rPr>
        <w:tab/>
      </w:r>
      <w:r>
        <w:rPr>
          <w:highlight w:val="none"/>
        </w:rPr>
        <w:fldChar w:fldCharType="end"/>
      </w:r>
      <w:r>
        <w:rPr>
          <w:rFonts w:hint="eastAsia" w:ascii="仿宋_GB2312" w:hAnsi="仿宋_GB2312" w:eastAsia="仿宋_GB2312" w:cs="仿宋_GB2312"/>
          <w:highlight w:val="none"/>
          <w:lang w:eastAsia="zh-CN"/>
        </w:rPr>
        <w:t>8</w:t>
      </w:r>
      <w:r>
        <w:rPr>
          <w:rFonts w:hint="eastAsia" w:ascii="仿宋_GB2312" w:hAnsi="仿宋_GB2312" w:eastAsia="仿宋_GB2312" w:cs="仿宋_GB2312"/>
          <w:highlight w:val="none"/>
          <w:lang w:val="en-US" w:eastAsia="zh-CN"/>
        </w:rPr>
        <w:t>7</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_Toc30115 </w:instrText>
      </w:r>
      <w:r>
        <w:rPr>
          <w:highlight w:val="none"/>
        </w:rPr>
        <w:fldChar w:fldCharType="separate"/>
      </w:r>
      <w:r>
        <w:rPr>
          <w:rFonts w:hint="eastAsia" w:ascii="楷体_GB2312" w:hAnsi="楷体_GB2312" w:eastAsia="楷体_GB2312" w:cs="楷体_GB2312"/>
          <w:highlight w:val="none"/>
        </w:rPr>
        <w:t>第一节  大力培养高素质农民</w:t>
      </w:r>
      <w:r>
        <w:rPr>
          <w:rFonts w:hint="eastAsia" w:ascii="楷体" w:hAnsi="楷体" w:cs="楷体"/>
          <w:highlight w:val="none"/>
        </w:rPr>
        <w:tab/>
      </w:r>
      <w:r>
        <w:rPr>
          <w:highlight w:val="none"/>
        </w:rPr>
        <w:fldChar w:fldCharType="end"/>
      </w:r>
      <w:r>
        <w:rPr>
          <w:rFonts w:hint="eastAsia" w:ascii="仿宋_GB2312" w:hAnsi="仿宋_GB2312" w:eastAsia="仿宋_GB2312" w:cs="仿宋_GB2312"/>
          <w:highlight w:val="none"/>
          <w:lang w:eastAsia="zh-CN"/>
        </w:rPr>
        <w:t>8</w:t>
      </w:r>
      <w:r>
        <w:rPr>
          <w:rFonts w:hint="eastAsia" w:ascii="仿宋_GB2312" w:hAnsi="仿宋_GB2312" w:eastAsia="仿宋_GB2312" w:cs="仿宋_GB2312"/>
          <w:highlight w:val="none"/>
          <w:lang w:val="en-US"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_Toc3358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一、建立健全职业农民培养制度</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8</w:t>
      </w:r>
      <w:r>
        <w:rPr>
          <w:rFonts w:hint="eastAsia" w:ascii="仿宋_GB2312" w:hAnsi="仿宋_GB2312" w:eastAsia="仿宋_GB2312" w:cs="仿宋_GB2312"/>
          <w:highlight w:val="none"/>
          <w:lang w:val="en-US" w:eastAsia="zh-CN"/>
        </w:rPr>
        <w:t>7</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_Toc21108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二、加快提升农民职业素质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8</w:t>
      </w:r>
      <w:r>
        <w:rPr>
          <w:rFonts w:hint="eastAsia" w:ascii="仿宋_GB2312" w:hAnsi="仿宋_GB2312" w:eastAsia="仿宋_GB2312" w:cs="仿宋_GB2312"/>
          <w:highlight w:val="none"/>
          <w:lang w:val="en-US" w:eastAsia="zh-CN"/>
        </w:rPr>
        <w:t>8</w:t>
      </w:r>
    </w:p>
    <w:p>
      <w:pPr>
        <w:pStyle w:val="8"/>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_Toc13775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三、全面发展农村科普教育</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_Toc13775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0</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_Toc11668 </w:instrText>
      </w:r>
      <w:r>
        <w:rPr>
          <w:highlight w:val="none"/>
        </w:rPr>
        <w:fldChar w:fldCharType="separate"/>
      </w:r>
      <w:r>
        <w:rPr>
          <w:rFonts w:hint="eastAsia" w:ascii="楷体_GB2312" w:hAnsi="楷体_GB2312" w:eastAsia="楷体_GB2312" w:cs="楷体_GB2312"/>
          <w:highlight w:val="none"/>
        </w:rPr>
        <w:t>第二节  加快提升农民精神风貌</w:t>
      </w:r>
      <w:r>
        <w:rPr>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_Toc11668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fldChar w:fldCharType="end"/>
      </w:r>
      <w:r>
        <w:rPr>
          <w:highlight w:val="none"/>
        </w:rPr>
        <w:fldChar w:fldCharType="end"/>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_Toc27895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一、全面提升农村社会文明程度</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_Toc27895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_Toc22061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二、多形式开展群众性文化活动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2</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_Toc4635 </w:instrText>
      </w:r>
      <w:r>
        <w:rPr>
          <w:highlight w:val="none"/>
        </w:rPr>
        <w:fldChar w:fldCharType="separate"/>
      </w:r>
      <w:r>
        <w:rPr>
          <w:rFonts w:hint="eastAsia" w:ascii="楷体_GB2312" w:hAnsi="楷体_GB2312" w:eastAsia="楷体_GB2312" w:cs="楷体_GB2312"/>
          <w:highlight w:val="none"/>
        </w:rPr>
        <w:t>第三节  全面提升农民收入水平</w:t>
      </w:r>
      <w:r>
        <w:rPr>
          <w:highlight w:val="none"/>
        </w:rPr>
        <w:tab/>
      </w:r>
      <w:r>
        <w:rPr>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4</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_Toc28302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一、拓宽农民就业渠道</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4</w:t>
      </w:r>
    </w:p>
    <w:p>
      <w:pPr>
        <w:pStyle w:val="8"/>
        <w:tabs>
          <w:tab w:val="right" w:leader="dot" w:pos="8473"/>
        </w:tabs>
        <w:spacing w:line="600" w:lineRule="exact"/>
        <w:ind w:left="0" w:leftChars="0"/>
        <w:rPr>
          <w:rFonts w:hint="eastAsia" w:ascii="仿宋_GB2312" w:hAnsi="仿宋_GB2312" w:eastAsia="仿宋_GB2312" w:cs="仿宋_GB2312"/>
          <w:highlight w:val="none"/>
        </w:rPr>
        <w:sectPr>
          <w:footerReference r:id="rId10" w:type="default"/>
          <w:pgSz w:w="11906" w:h="16838"/>
          <w:pgMar w:top="1927" w:right="1304" w:bottom="1531" w:left="1531" w:header="851" w:footer="1417" w:gutter="0"/>
          <w:pgNumType w:fmt="numberInDash" w:start="4"/>
          <w:cols w:space="720" w:num="1"/>
          <w:rtlGutter w:val="0"/>
          <w:docGrid w:type="lines" w:linePitch="312" w:charSpace="0"/>
        </w:sectPr>
      </w:pP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_Toc942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二、有效提升农民经营性收入</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5</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_Toc29525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三、完善制度保障体系</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5</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_Toc19454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四、激发农村创新创业活力</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5</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_Toc27924 </w:instrText>
      </w:r>
      <w:r>
        <w:rPr>
          <w:highlight w:val="none"/>
        </w:rPr>
        <w:fldChar w:fldCharType="separate"/>
      </w:r>
      <w:r>
        <w:rPr>
          <w:rFonts w:hint="eastAsia" w:ascii="楷体_GB2312" w:hAnsi="楷体_GB2312" w:eastAsia="楷体_GB2312" w:cs="楷体_GB2312"/>
          <w:highlight w:val="none"/>
        </w:rPr>
        <w:t>第四节  促进农村消费升级</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_Toc27924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lang w:eastAsia="zh-CN"/>
        </w:rPr>
        <w:t>9</w:t>
      </w:r>
      <w:r>
        <w:rPr>
          <w:rStyle w:val="19"/>
          <w:rFonts w:ascii="仿宋_GB2312" w:hAnsi="仿宋_GB2312" w:eastAsia="仿宋_GB2312" w:cs="仿宋_GB2312"/>
        </w:rPr>
        <w:t>6</w:t>
      </w:r>
      <w:r>
        <w:rPr>
          <w:rFonts w:hint="eastAsia" w:ascii="仿宋_GB2312" w:hAnsi="仿宋_GB2312" w:eastAsia="仿宋_GB2312" w:cs="仿宋_GB2312"/>
          <w:highlight w:val="none"/>
        </w:rPr>
        <w:fldChar w:fldCharType="end"/>
      </w:r>
      <w:r>
        <w:rPr>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_Toc25297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一、实施农村居民消费促进行动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_Toc25297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_Toc10257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二、优化农村消费环境</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_Toc10257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_Toc4251 </w:instrText>
      </w:r>
      <w:r>
        <w:rPr>
          <w:highlight w:val="none"/>
        </w:rPr>
        <w:fldChar w:fldCharType="separate"/>
      </w:r>
      <w:r>
        <w:rPr>
          <w:rFonts w:eastAsia="方正小标宋简体"/>
          <w:szCs w:val="36"/>
          <w:highlight w:val="none"/>
        </w:rPr>
        <w:t>第七章  巩固拓展成果 助力脱贫地区接续推进乡村振兴</w:t>
      </w:r>
      <w:r>
        <w:rPr>
          <w:highlight w:val="none"/>
        </w:rPr>
        <w:tab/>
      </w:r>
      <w:r>
        <w:rPr>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9</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_Toc27406 </w:instrText>
      </w:r>
      <w:r>
        <w:rPr>
          <w:highlight w:val="none"/>
        </w:rPr>
        <w:fldChar w:fldCharType="separate"/>
      </w:r>
      <w:r>
        <w:rPr>
          <w:rFonts w:hint="eastAsia" w:ascii="楷体_GB2312" w:hAnsi="楷体_GB2312" w:eastAsia="楷体_GB2312" w:cs="楷体_GB2312"/>
          <w:highlight w:val="none"/>
        </w:rPr>
        <w:t>第一节  促进脱贫攻坚政策平稳过渡</w:t>
      </w:r>
      <w:r>
        <w:rPr>
          <w:highlight w:val="none"/>
        </w:rPr>
        <w:tab/>
      </w:r>
      <w:r>
        <w:rPr>
          <w:highlight w:val="none"/>
        </w:rPr>
        <w:fldChar w:fldCharType="end"/>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9</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_Toc10419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一、稳定现行帮扶政策体系</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_Toc10419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_Toc11577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二、完善返贫监测帮扶机制</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_Toc11577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eastAsia="zh-CN"/>
        </w:rPr>
        <w:t>9</w:t>
      </w:r>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_Toc14841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三、巩固“两不愁三保障”成果</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_Toc14841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00</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_Toc3252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四、完善扶贫资产管理机制</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_Toc3252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00</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_Toc4543 </w:instrText>
      </w:r>
      <w:r>
        <w:rPr>
          <w:highlight w:val="none"/>
        </w:rPr>
        <w:fldChar w:fldCharType="separate"/>
      </w:r>
      <w:r>
        <w:rPr>
          <w:rFonts w:hint="eastAsia" w:ascii="楷体_GB2312" w:hAnsi="楷体_GB2312" w:eastAsia="楷体_GB2312" w:cs="楷体_GB2312"/>
          <w:highlight w:val="none"/>
        </w:rPr>
        <w:t>第二节  加强农村低收入人口常态化帮扶</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_Toc4543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Style w:val="19"/>
          <w:rFonts w:hint="eastAsia" w:ascii="仿宋_GB2312" w:hAnsi="仿宋_GB2312" w:eastAsia="仿宋_GB2312" w:cs="仿宋_GB2312"/>
          <w:lang w:eastAsia="zh-CN"/>
        </w:rPr>
        <w:t>0</w:t>
      </w:r>
      <w:r>
        <w:rPr>
          <w:rStyle w:val="19"/>
          <w:rFonts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_Toc4699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一、拓展稳定增收渠道</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_Toc4699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01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_Toc2812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二、分层分类实施社会救助</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_Toc2812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01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_Toc29869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三、完善养老保障和儿童关爱服务</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_Toc29869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_Toc13325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四、加强医疗保障工作</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_Toc13325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_Toc26516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szCs w:val="20"/>
          <w:highlight w:val="none"/>
        </w:rPr>
        <w:t>五、加强教育和住房安全保障工作</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_Toc26516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2</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_Toc27512 </w:instrText>
      </w:r>
      <w:r>
        <w:rPr>
          <w:highlight w:val="none"/>
        </w:rPr>
        <w:fldChar w:fldCharType="separate"/>
      </w:r>
      <w:r>
        <w:rPr>
          <w:rFonts w:hint="eastAsia" w:ascii="楷体_GB2312" w:hAnsi="楷体_GB2312" w:eastAsia="楷体_GB2312" w:cs="楷体_GB2312"/>
          <w:highlight w:val="none"/>
        </w:rPr>
        <w:t>第三节  衔接全面推进乡村振兴</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_Toc27512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Style w:val="19"/>
          <w:rFonts w:hint="eastAsia" w:ascii="仿宋_GB2312" w:hAnsi="仿宋_GB2312" w:eastAsia="仿宋_GB2312" w:cs="仿宋_GB2312"/>
          <w:lang w:eastAsia="zh-CN"/>
        </w:rPr>
        <w:t>0</w:t>
      </w:r>
      <w:r>
        <w:rPr>
          <w:rStyle w:val="19"/>
          <w:rFonts w:ascii="仿宋_GB2312" w:hAnsi="仿宋_GB2312" w:eastAsia="仿宋_GB2312" w:cs="仿宋_GB2312"/>
        </w:rPr>
        <w:t>3</w:t>
      </w:r>
      <w:r>
        <w:rPr>
          <w:rFonts w:hint="eastAsia" w:ascii="仿宋_GB2312" w:hAnsi="仿宋_GB2312" w:eastAsia="仿宋_GB2312" w:cs="仿宋_GB2312"/>
          <w:highlight w:val="none"/>
        </w:rPr>
        <w:fldChar w:fldCharType="end"/>
      </w:r>
      <w:r>
        <w:rPr>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_Toc6451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一、实施驻镇帮镇扶村工作</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_Toc6451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3</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_Toc313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二、大力发展镇村经济</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_Toc313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4</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_Toc23860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三、加强基础设施建设</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_Toc23860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4</w:t>
      </w:r>
    </w:p>
    <w:p>
      <w:pPr>
        <w:pStyle w:val="8"/>
        <w:tabs>
          <w:tab w:val="right" w:leader="dot" w:pos="8473"/>
        </w:tabs>
        <w:spacing w:line="600" w:lineRule="exact"/>
        <w:ind w:left="0" w:leftChars="0"/>
        <w:rPr>
          <w:rFonts w:hint="eastAsia" w:ascii="仿宋_GB2312" w:hAnsi="仿宋_GB2312" w:eastAsia="仿宋_GB2312" w:cs="仿宋_GB2312"/>
          <w:highlight w:val="none"/>
        </w:rPr>
        <w:sectPr>
          <w:footerReference r:id="rId11" w:type="default"/>
          <w:pgSz w:w="11906" w:h="16838"/>
          <w:pgMar w:top="1927" w:right="1304" w:bottom="1531" w:left="1531" w:header="851" w:footer="1417" w:gutter="0"/>
          <w:pgNumType w:fmt="numberInDash" w:start="5"/>
          <w:cols w:space="720" w:num="1"/>
          <w:rtlGutter w:val="0"/>
          <w:docGrid w:type="lines" w:linePitch="312" w:charSpace="0"/>
        </w:sectPr>
      </w:pP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_Toc5644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四、提升公共服务能力</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_Toc5644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_Toc10846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五、实施“万企兴万村”行动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_Toc10846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5</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_Toc332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六、</w:t>
      </w:r>
      <w:r>
        <w:rPr>
          <w:rFonts w:hint="eastAsia" w:ascii="仿宋_GB2312" w:hAnsi="仿宋_GB2312" w:eastAsia="仿宋_GB2312" w:cs="仿宋_GB2312"/>
          <w:highlight w:val="none"/>
        </w:rPr>
        <w:t>强化与广西来宾市结对共建</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_Toc332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_Toc3974 </w:instrText>
      </w:r>
      <w:r>
        <w:rPr>
          <w:highlight w:val="none"/>
        </w:rPr>
        <w:fldChar w:fldCharType="separate"/>
      </w:r>
      <w:r>
        <w:rPr>
          <w:rFonts w:eastAsia="方正小标宋简体"/>
          <w:szCs w:val="36"/>
          <w:highlight w:val="none"/>
        </w:rPr>
        <w:t xml:space="preserve">第八章  </w:t>
      </w:r>
      <w:r>
        <w:rPr>
          <w:rFonts w:eastAsia="方正小标宋简体"/>
          <w:spacing w:val="-6"/>
          <w:szCs w:val="36"/>
          <w:highlight w:val="none"/>
        </w:rPr>
        <w:t>全面深化改革 破除制约农业农村高质量发展制度障碍</w:t>
      </w:r>
      <w:r>
        <w:rPr>
          <w:rStyle w:val="19"/>
          <w:rFonts w:hint="eastAsia" w:ascii="仿宋_GB2312" w:hAnsi="仿宋_GB2312" w:eastAsia="仿宋_GB2312" w:cs="仿宋_GB2312"/>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_Toc3974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Style w:val="19"/>
          <w:rFonts w:hint="eastAsia" w:ascii="仿宋_GB2312" w:hAnsi="仿宋_GB2312" w:eastAsia="仿宋_GB2312" w:cs="仿宋_GB2312"/>
          <w:lang w:eastAsia="zh-CN"/>
        </w:rPr>
        <w:t>0</w:t>
      </w:r>
      <w:r>
        <w:rPr>
          <w:rStyle w:val="19"/>
          <w:rFonts w:ascii="仿宋_GB2312" w:hAnsi="仿宋_GB2312" w:eastAsia="仿宋_GB2312" w:cs="仿宋_GB2312"/>
        </w:rPr>
        <w:t>7</w:t>
      </w:r>
      <w:r>
        <w:rPr>
          <w:rFonts w:hint="eastAsia" w:ascii="仿宋_GB2312" w:hAnsi="仿宋_GB2312" w:eastAsia="仿宋_GB2312" w:cs="仿宋_GB2312"/>
          <w:highlight w:val="none"/>
        </w:rPr>
        <w:fldChar w:fldCharType="end"/>
      </w:r>
      <w:r>
        <w:rPr>
          <w:highlight w:val="none"/>
        </w:rPr>
        <w:fldChar w:fldCharType="end"/>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_Toc32699 </w:instrText>
      </w:r>
      <w:r>
        <w:rPr>
          <w:highlight w:val="none"/>
        </w:rPr>
        <w:fldChar w:fldCharType="separate"/>
      </w:r>
      <w:r>
        <w:rPr>
          <w:rFonts w:hint="eastAsia" w:ascii="楷体_GB2312" w:hAnsi="楷体_GB2312" w:eastAsia="楷体_GB2312" w:cs="楷体_GB2312"/>
          <w:highlight w:val="none"/>
        </w:rPr>
        <w:t>第一节  全面激发农村内生活力</w:t>
      </w:r>
      <w:r>
        <w:rPr>
          <w:rFonts w:hint="eastAsia" w:ascii="楷体_GB2312" w:hAnsi="楷体_GB2312" w:eastAsia="楷体_GB2312" w:cs="楷体_GB2312"/>
          <w:highlight w:val="none"/>
          <w:lang w:val="en-US" w:eastAsia="zh-CN"/>
        </w:rPr>
        <w:t xml:space="preserve"> </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_Toc32699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Style w:val="19"/>
          <w:rFonts w:hint="eastAsia" w:ascii="仿宋_GB2312" w:hAnsi="仿宋_GB2312" w:eastAsia="仿宋_GB2312" w:cs="仿宋_GB2312"/>
          <w:lang w:eastAsia="zh-CN"/>
        </w:rPr>
        <w:t>0</w:t>
      </w:r>
      <w:r>
        <w:rPr>
          <w:rStyle w:val="19"/>
          <w:rFonts w:ascii="仿宋_GB2312" w:hAnsi="仿宋_GB2312" w:eastAsia="仿宋_GB2312" w:cs="仿宋_GB2312"/>
        </w:rPr>
        <w:t>7</w:t>
      </w:r>
      <w:r>
        <w:rPr>
          <w:rFonts w:hint="eastAsia" w:ascii="仿宋_GB2312" w:hAnsi="仿宋_GB2312" w:eastAsia="仿宋_GB2312" w:cs="仿宋_GB2312"/>
          <w:highlight w:val="none"/>
        </w:rPr>
        <w:fldChar w:fldCharType="end"/>
      </w:r>
      <w:r>
        <w:rPr>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_Toc8865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一、巩固完善农村基本经营制度</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_Toc8865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lang w:val="en-US" w:eastAsia="zh-CN"/>
        </w:rPr>
        <w:t>107</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_Toc21198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二、稳慎开展农村宅基地改革</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_Toc21198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08</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_Toc23901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三、积极探索农村集体经营性建设用地入市制度</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_Toc23901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08</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_Toc31580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四、深化农村集体产权制度改革</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_Toc31580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0</w:t>
      </w:r>
      <w:r>
        <w:rPr>
          <w:rFonts w:hint="eastAsia" w:ascii="仿宋_GB2312" w:hAnsi="仿宋_GB2312" w:eastAsia="仿宋_GB2312" w:cs="仿宋_GB2312"/>
          <w:highlight w:val="none"/>
          <w:lang w:val="en-US" w:eastAsia="zh-CN"/>
        </w:rPr>
        <w:t>9</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_Toc31628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五、深化农垦、供销合作社改革</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_Toc31628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r>
        <w:rPr>
          <w:rFonts w:hint="eastAsia" w:ascii="仿宋_GB2312" w:hAnsi="仿宋_GB2312" w:eastAsia="仿宋_GB2312" w:cs="仿宋_GB2312"/>
          <w:highlight w:val="none"/>
          <w:lang w:val="en-US" w:eastAsia="zh-CN"/>
        </w:rPr>
        <w:t>0</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_Toc29408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六、加快推进</w:t>
      </w:r>
      <w:r>
        <w:rPr>
          <w:rFonts w:hint="eastAsia" w:ascii="仿宋_GB2312" w:hAnsi="仿宋_GB2312" w:eastAsia="仿宋_GB2312" w:cs="仿宋_GB2312"/>
          <w:szCs w:val="20"/>
          <w:highlight w:val="none"/>
        </w:rPr>
        <w:t>农业水价综合改革</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_Toc29408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r>
        <w:rPr>
          <w:rFonts w:hint="eastAsia" w:ascii="仿宋_GB2312" w:hAnsi="仿宋_GB2312" w:eastAsia="仿宋_GB2312" w:cs="仿宋_GB2312"/>
          <w:highlight w:val="none"/>
          <w:lang w:val="en-US" w:eastAsia="zh-CN"/>
        </w:rPr>
        <w:t>0</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_Toc20971 </w:instrText>
      </w:r>
      <w:r>
        <w:rPr>
          <w:highlight w:val="none"/>
        </w:rPr>
        <w:fldChar w:fldCharType="separate"/>
      </w:r>
      <w:r>
        <w:rPr>
          <w:rFonts w:hint="eastAsia" w:ascii="楷体_GB2312" w:hAnsi="楷体_GB2312" w:eastAsia="楷体_GB2312" w:cs="楷体_GB2312"/>
          <w:highlight w:val="none"/>
        </w:rPr>
        <w:t>第二节  推动城乡要素优化配置</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_Toc20971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1</w:t>
      </w:r>
      <w:r>
        <w:rPr>
          <w:rStyle w:val="19"/>
          <w:rFonts w:hint="eastAsia" w:ascii="仿宋_GB2312" w:hAnsi="仿宋_GB2312" w:eastAsia="仿宋_GB2312" w:cs="仿宋_GB2312"/>
          <w:lang w:val="en-US" w:eastAsia="zh-CN"/>
        </w:rPr>
        <w:t>1</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_Toc2049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一、完善城乡人才流动保障体系</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_Toc2049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r>
        <w:rPr>
          <w:rFonts w:hint="eastAsia" w:ascii="仿宋_GB2312" w:hAnsi="仿宋_GB2312" w:eastAsia="仿宋_GB2312" w:cs="仿宋_GB2312"/>
          <w:highlight w:val="none"/>
          <w:lang w:val="en-US" w:eastAsia="zh-CN"/>
        </w:rPr>
        <w:t>1</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_Toc25520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二、创新乡村振兴多元投入机制</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_Toc25520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r>
        <w:rPr>
          <w:rFonts w:hint="eastAsia" w:ascii="仿宋_GB2312" w:hAnsi="仿宋_GB2312" w:eastAsia="仿宋_GB2312" w:cs="仿宋_GB2312"/>
          <w:highlight w:val="none"/>
          <w:lang w:val="en-US" w:eastAsia="zh-CN"/>
        </w:rPr>
        <w:t>2</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_Toc13876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三、统筹优化城乡发展用地供给</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_Toc13876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eastAsia="zh-CN"/>
        </w:rPr>
        <w:t>1</w:t>
      </w:r>
      <w:r>
        <w:rPr>
          <w:rFonts w:hint="eastAsia" w:ascii="仿宋_GB2312" w:hAnsi="仿宋_GB2312" w:eastAsia="仿宋_GB2312" w:cs="仿宋_GB2312"/>
          <w:highlight w:val="none"/>
          <w:lang w:val="en-US" w:eastAsia="zh-CN"/>
        </w:rPr>
        <w:t>5</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_Toc25318 </w:instrText>
      </w:r>
      <w:r>
        <w:rPr>
          <w:highlight w:val="none"/>
        </w:rPr>
        <w:fldChar w:fldCharType="separate"/>
      </w:r>
      <w:r>
        <w:rPr>
          <w:rFonts w:hint="eastAsia" w:ascii="楷体_GB2312" w:hAnsi="楷体_GB2312" w:eastAsia="楷体_GB2312" w:cs="楷体_GB2312"/>
          <w:highlight w:val="none"/>
        </w:rPr>
        <w:t>第三节  致力打造乡村振兴“茂名样板”</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_Toc25318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1</w:t>
      </w:r>
      <w:r>
        <w:rPr>
          <w:rStyle w:val="19"/>
          <w:rFonts w:hint="eastAsia" w:ascii="仿宋_GB2312" w:hAnsi="仿宋_GB2312" w:eastAsia="仿宋_GB2312" w:cs="仿宋_GB2312"/>
          <w:lang w:val="en-US" w:eastAsia="zh-CN"/>
        </w:rPr>
        <w:t>6</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_Toc12611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一、打造乡村振兴示范带“精彩100里”</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_Toc12611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16</w:t>
      </w:r>
    </w:p>
    <w:p>
      <w:pPr>
        <w:pStyle w:val="8"/>
        <w:tabs>
          <w:tab w:val="right" w:leader="dot" w:pos="8473"/>
        </w:tabs>
        <w:spacing w:line="600" w:lineRule="exact"/>
        <w:ind w:left="0" w:left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\l _Toc17727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bCs w:val="0"/>
          <w:highlight w:val="none"/>
        </w:rPr>
        <w:t>二、创建农业现代化示范区</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PAGEREF _Toc17727 \h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1</w:t>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rPr>
        <w:fldChar w:fldCharType="end"/>
      </w:r>
      <w:r>
        <w:rPr>
          <w:rFonts w:hint="eastAsia" w:ascii="仿宋_GB2312" w:hAnsi="仿宋_GB2312" w:eastAsia="仿宋_GB2312" w:cs="仿宋_GB2312"/>
          <w:highlight w:val="none"/>
          <w:lang w:val="en-US" w:eastAsia="zh-CN"/>
        </w:rPr>
        <w:t>17</w:t>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_Toc22210 </w:instrText>
      </w:r>
      <w:r>
        <w:rPr>
          <w:highlight w:val="none"/>
        </w:rPr>
        <w:fldChar w:fldCharType="separate"/>
      </w:r>
      <w:r>
        <w:rPr>
          <w:rFonts w:eastAsia="方正小标宋简体"/>
          <w:szCs w:val="36"/>
          <w:highlight w:val="none"/>
        </w:rPr>
        <w:t>第九章  强化保障措施 健全规划有序实施机制</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_Toc22210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1</w:t>
      </w:r>
      <w:r>
        <w:rPr>
          <w:rStyle w:val="19"/>
          <w:rFonts w:hint="eastAsia" w:ascii="仿宋_GB2312" w:hAnsi="仿宋_GB2312" w:eastAsia="仿宋_GB2312" w:cs="仿宋_GB2312"/>
          <w:lang w:val="en-US" w:eastAsia="zh-CN"/>
        </w:rPr>
        <w:t>8</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_Toc6596 </w:instrText>
      </w:r>
      <w:r>
        <w:rPr>
          <w:highlight w:val="none"/>
        </w:rPr>
        <w:fldChar w:fldCharType="separate"/>
      </w:r>
      <w:r>
        <w:rPr>
          <w:rFonts w:hint="eastAsia" w:ascii="楷体_GB2312" w:hAnsi="楷体_GB2312" w:eastAsia="楷体_GB2312" w:cs="楷体_GB2312"/>
          <w:highlight w:val="none"/>
        </w:rPr>
        <w:t>第一节  加强组织领导</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_Toc6596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1</w:t>
      </w:r>
      <w:r>
        <w:rPr>
          <w:rStyle w:val="19"/>
          <w:rFonts w:hint="eastAsia" w:ascii="仿宋_GB2312" w:hAnsi="仿宋_GB2312" w:eastAsia="仿宋_GB2312" w:cs="仿宋_GB2312"/>
          <w:lang w:val="en-US" w:eastAsia="zh-CN"/>
        </w:rPr>
        <w:t>8</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_Toc2640 </w:instrText>
      </w:r>
      <w:r>
        <w:rPr>
          <w:highlight w:val="none"/>
        </w:rPr>
        <w:fldChar w:fldCharType="separate"/>
      </w:r>
      <w:r>
        <w:rPr>
          <w:rFonts w:hint="eastAsia" w:ascii="楷体_GB2312" w:hAnsi="楷体_GB2312" w:eastAsia="楷体_GB2312" w:cs="楷体_GB2312"/>
          <w:highlight w:val="none"/>
        </w:rPr>
        <w:t>第二节  坚持规划引领</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_Toc2640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1</w:t>
      </w:r>
      <w:r>
        <w:rPr>
          <w:rStyle w:val="19"/>
          <w:rFonts w:hint="eastAsia" w:ascii="仿宋_GB2312" w:hAnsi="仿宋_GB2312" w:eastAsia="仿宋_GB2312" w:cs="仿宋_GB2312"/>
          <w:lang w:val="en-US" w:eastAsia="zh-CN"/>
        </w:rPr>
        <w:t>9</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_Toc27496 </w:instrText>
      </w:r>
      <w:r>
        <w:rPr>
          <w:highlight w:val="none"/>
        </w:rPr>
        <w:fldChar w:fldCharType="separate"/>
      </w:r>
      <w:r>
        <w:rPr>
          <w:rFonts w:hint="eastAsia" w:ascii="楷体_GB2312" w:hAnsi="楷体_GB2312" w:eastAsia="楷体_GB2312" w:cs="楷体_GB2312"/>
          <w:highlight w:val="none"/>
        </w:rPr>
        <w:t>第三节  加大政策扶持</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_Toc27496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1</w:t>
      </w:r>
      <w:r>
        <w:rPr>
          <w:rStyle w:val="19"/>
          <w:rFonts w:hint="eastAsia" w:ascii="仿宋_GB2312" w:hAnsi="仿宋_GB2312" w:eastAsia="仿宋_GB2312" w:cs="仿宋_GB2312"/>
          <w:lang w:val="en-US" w:eastAsia="zh-CN"/>
        </w:rPr>
        <w:t>9</w:t>
      </w:r>
    </w:p>
    <w:p>
      <w:pPr>
        <w:pStyle w:val="12"/>
        <w:tabs>
          <w:tab w:val="right" w:leader="dot" w:pos="8473"/>
        </w:tabs>
        <w:spacing w:line="600" w:lineRule="exact"/>
        <w:ind w:left="0" w:leftChars="0"/>
        <w:rPr>
          <w:highlight w:val="none"/>
        </w:rPr>
        <w:sectPr>
          <w:footerReference r:id="rId12" w:type="default"/>
          <w:pgSz w:w="11906" w:h="16838"/>
          <w:pgMar w:top="1927" w:right="1304" w:bottom="1531" w:left="1531" w:header="851" w:footer="1417" w:gutter="0"/>
          <w:pgNumType w:fmt="numberInDash" w:start="6"/>
          <w:cols w:space="720" w:num="1"/>
          <w:rtlGutter w:val="0"/>
          <w:docGrid w:type="lines" w:linePitch="312" w:charSpace="0"/>
        </w:sectPr>
      </w:pP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_Toc20890 </w:instrText>
      </w:r>
      <w:r>
        <w:rPr>
          <w:highlight w:val="none"/>
        </w:rPr>
        <w:fldChar w:fldCharType="separate"/>
      </w:r>
      <w:r>
        <w:rPr>
          <w:rFonts w:hint="eastAsia" w:ascii="楷体_GB2312" w:hAnsi="楷体_GB2312" w:eastAsia="楷体_GB2312" w:cs="楷体_GB2312"/>
          <w:highlight w:val="none"/>
        </w:rPr>
        <w:t>第四节  加强法治保障</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_Toc20890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2</w:t>
      </w:r>
      <w:r>
        <w:rPr>
          <w:rStyle w:val="19"/>
          <w:rFonts w:hint="eastAsia" w:ascii="仿宋_GB2312" w:hAnsi="仿宋_GB2312" w:eastAsia="仿宋_GB2312" w:cs="仿宋_GB2312"/>
          <w:lang w:val="en-US" w:eastAsia="zh-CN"/>
        </w:rPr>
        <w:t>0</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_Toc23940 </w:instrText>
      </w:r>
      <w:r>
        <w:rPr>
          <w:highlight w:val="none"/>
        </w:rPr>
        <w:fldChar w:fldCharType="separate"/>
      </w:r>
      <w:r>
        <w:rPr>
          <w:rFonts w:hint="eastAsia" w:ascii="楷体_GB2312" w:hAnsi="楷体_GB2312" w:eastAsia="楷体_GB2312" w:cs="楷体_GB2312"/>
          <w:highlight w:val="none"/>
        </w:rPr>
        <w:t>第五节  加强人才队伍建设</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_Toc23940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2</w:t>
      </w:r>
      <w:r>
        <w:rPr>
          <w:rStyle w:val="19"/>
          <w:rFonts w:hint="eastAsia" w:ascii="仿宋_GB2312" w:hAnsi="仿宋_GB2312" w:eastAsia="仿宋_GB2312" w:cs="仿宋_GB2312"/>
          <w:lang w:val="en-US" w:eastAsia="zh-CN"/>
        </w:rPr>
        <w:t>0</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_Toc5406 </w:instrText>
      </w:r>
      <w:r>
        <w:rPr>
          <w:highlight w:val="none"/>
        </w:rPr>
        <w:fldChar w:fldCharType="separate"/>
      </w:r>
      <w:r>
        <w:rPr>
          <w:rFonts w:hint="eastAsia" w:ascii="楷体_GB2312" w:hAnsi="楷体_GB2312" w:eastAsia="楷体_GB2312" w:cs="楷体_GB2312"/>
          <w:highlight w:val="none"/>
        </w:rPr>
        <w:t>第六节  注重典型带动</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_Toc5406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2</w:t>
      </w:r>
      <w:r>
        <w:rPr>
          <w:rStyle w:val="19"/>
          <w:rFonts w:hint="eastAsia" w:ascii="仿宋_GB2312" w:hAnsi="仿宋_GB2312" w:eastAsia="仿宋_GB2312" w:cs="仿宋_GB2312"/>
          <w:lang w:val="en-US" w:eastAsia="zh-CN"/>
        </w:rPr>
        <w:t>1</w:t>
      </w:r>
    </w:p>
    <w:p>
      <w:pPr>
        <w:pStyle w:val="12"/>
        <w:tabs>
          <w:tab w:val="right" w:leader="dot" w:pos="8473"/>
        </w:tabs>
        <w:spacing w:line="600" w:lineRule="exact"/>
        <w:ind w:left="0" w:leftChars="0"/>
        <w:rPr>
          <w:highlight w:val="none"/>
        </w:rPr>
      </w:pPr>
      <w:r>
        <w:rPr>
          <w:rFonts w:hint="eastAsia"/>
          <w:highlight w:val="none"/>
          <w:lang w:val="en-US" w:eastAsia="zh-CN"/>
        </w:rPr>
        <w:t xml:space="preserve">    </w:t>
      </w:r>
      <w:r>
        <w:rPr>
          <w:highlight w:val="none"/>
        </w:rPr>
        <w:fldChar w:fldCharType="begin"/>
      </w:r>
      <w:r>
        <w:rPr>
          <w:highlight w:val="none"/>
        </w:rPr>
        <w:instrText xml:space="preserve"> HYPERLINK \l _Toc112 </w:instrText>
      </w:r>
      <w:r>
        <w:rPr>
          <w:highlight w:val="none"/>
        </w:rPr>
        <w:fldChar w:fldCharType="separate"/>
      </w:r>
      <w:r>
        <w:rPr>
          <w:rFonts w:hint="eastAsia" w:ascii="楷体_GB2312" w:hAnsi="楷体_GB2312" w:eastAsia="楷体_GB2312" w:cs="楷体_GB2312"/>
          <w:highlight w:val="none"/>
        </w:rPr>
        <w:t>第七节  开展评估考核</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_Toc112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2</w:t>
      </w:r>
      <w:r>
        <w:rPr>
          <w:rStyle w:val="19"/>
          <w:rFonts w:hint="eastAsia" w:ascii="仿宋_GB2312" w:hAnsi="仿宋_GB2312" w:eastAsia="仿宋_GB2312" w:cs="仿宋_GB2312"/>
          <w:lang w:val="en-US" w:eastAsia="zh-CN"/>
        </w:rPr>
        <w:t>1</w:t>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_Toc7519 </w:instrText>
      </w:r>
      <w:r>
        <w:rPr>
          <w:highlight w:val="none"/>
        </w:rPr>
        <w:fldChar w:fldCharType="separate"/>
      </w:r>
      <w:r>
        <w:rPr>
          <w:rFonts w:hint="eastAsia" w:ascii="黑体" w:hAnsi="黑体" w:eastAsia="黑体" w:cs="黑体"/>
          <w:szCs w:val="32"/>
          <w:highlight w:val="none"/>
        </w:rPr>
        <w:t>附件1</w:t>
      </w:r>
      <w:r>
        <w:rPr>
          <w:rFonts w:eastAsia="方正小标宋简体"/>
          <w:szCs w:val="44"/>
          <w:highlight w:val="none"/>
        </w:rPr>
        <w:t xml:space="preserve"> 茂名市农业农村现代化“十四五”规划在建重大项目</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_Toc7519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2</w:t>
      </w:r>
      <w:r>
        <w:rPr>
          <w:rStyle w:val="19"/>
          <w:rFonts w:hint="eastAsia" w:ascii="仿宋_GB2312" w:hAnsi="仿宋_GB2312" w:eastAsia="仿宋_GB2312" w:cs="仿宋_GB2312"/>
          <w:lang w:val="en-US" w:eastAsia="zh-CN"/>
        </w:rPr>
        <w:t>3</w:t>
      </w:r>
    </w:p>
    <w:p>
      <w:pPr>
        <w:pStyle w:val="10"/>
        <w:tabs>
          <w:tab w:val="right" w:leader="dot" w:pos="8473"/>
        </w:tabs>
        <w:spacing w:line="600" w:lineRule="exact"/>
        <w:rPr>
          <w:highlight w:val="none"/>
        </w:rPr>
      </w:pPr>
      <w:r>
        <w:rPr>
          <w:highlight w:val="none"/>
        </w:rPr>
        <w:fldChar w:fldCharType="begin"/>
      </w:r>
      <w:r>
        <w:rPr>
          <w:highlight w:val="none"/>
        </w:rPr>
        <w:instrText xml:space="preserve"> HYPERLINK \l _Toc6159 </w:instrText>
      </w:r>
      <w:r>
        <w:rPr>
          <w:highlight w:val="none"/>
        </w:rPr>
        <w:fldChar w:fldCharType="separate"/>
      </w:r>
      <w:r>
        <w:rPr>
          <w:rFonts w:hint="eastAsia" w:ascii="黑体" w:hAnsi="黑体" w:eastAsia="黑体" w:cs="黑体"/>
          <w:szCs w:val="32"/>
          <w:highlight w:val="none"/>
        </w:rPr>
        <w:t>附件2</w:t>
      </w:r>
      <w:r>
        <w:rPr>
          <w:rFonts w:hint="eastAsia" w:ascii="方正小标宋简体" w:hAnsi="方正小标宋简体" w:eastAsia="方正小标宋简体" w:cs="方正小标宋简体"/>
          <w:szCs w:val="44"/>
          <w:highlight w:val="none"/>
        </w:rPr>
        <w:t xml:space="preserve"> 茂名市农业农村现代化“十四五”规划储备重大项目</w:t>
      </w:r>
      <w:r>
        <w:rPr>
          <w:highlight w:val="none"/>
        </w:rPr>
        <w:tab/>
      </w:r>
      <w:r>
        <w:rPr>
          <w:rFonts w:hint="eastAsia" w:ascii="仿宋_GB2312" w:hAnsi="仿宋_GB2312" w:eastAsia="仿宋_GB2312" w:cs="仿宋_GB2312"/>
          <w:highlight w:val="none"/>
        </w:rPr>
        <w:fldChar w:fldCharType="begin"/>
      </w:r>
      <w:r>
        <w:rPr>
          <w:rStyle w:val="19"/>
          <w:rFonts w:hint="eastAsia" w:ascii="仿宋_GB2312" w:hAnsi="仿宋_GB2312" w:eastAsia="仿宋_GB2312" w:cs="仿宋_GB2312"/>
        </w:rPr>
        <w:instrText xml:space="preserve"> PAGEREF _Toc6159 \h </w:instrText>
      </w:r>
      <w:r>
        <w:rPr>
          <w:rFonts w:hint="eastAsia" w:ascii="仿宋_GB2312" w:hAnsi="仿宋_GB2312" w:eastAsia="仿宋_GB2312" w:cs="仿宋_GB2312"/>
          <w:highlight w:val="none"/>
        </w:rPr>
        <w:fldChar w:fldCharType="separate"/>
      </w:r>
      <w:r>
        <w:rPr>
          <w:rStyle w:val="19"/>
          <w:rFonts w:hint="eastAsia" w:ascii="仿宋_GB2312" w:hAnsi="仿宋_GB2312" w:eastAsia="仿宋_GB2312" w:cs="仿宋_GB2312"/>
        </w:rPr>
        <w:t>1</w:t>
      </w:r>
      <w:r>
        <w:rPr>
          <w:rFonts w:hint="eastAsia" w:ascii="仿宋_GB2312" w:hAnsi="仿宋_GB2312" w:eastAsia="仿宋_GB2312" w:cs="仿宋_GB2312"/>
          <w:highlight w:val="none"/>
        </w:rPr>
        <w:fldChar w:fldCharType="end"/>
      </w:r>
      <w:r>
        <w:rPr>
          <w:highlight w:val="none"/>
        </w:rPr>
        <w:fldChar w:fldCharType="end"/>
      </w:r>
      <w:r>
        <w:rPr>
          <w:rStyle w:val="19"/>
          <w:rFonts w:hint="eastAsia" w:ascii="仿宋_GB2312" w:hAnsi="仿宋_GB2312" w:eastAsia="仿宋_GB2312" w:cs="仿宋_GB2312"/>
          <w:lang w:eastAsia="zh-CN"/>
        </w:rPr>
        <w:t>3</w:t>
      </w:r>
      <w:r>
        <w:rPr>
          <w:rStyle w:val="19"/>
          <w:rFonts w:hint="eastAsia" w:ascii="仿宋_GB2312" w:hAnsi="仿宋_GB2312" w:eastAsia="仿宋_GB2312" w:cs="仿宋_GB2312"/>
          <w:lang w:val="en-US" w:eastAsia="zh-CN"/>
        </w:rPr>
        <w:t>6</w:t>
      </w:r>
    </w:p>
    <w:p>
      <w:pPr>
        <w:spacing w:line="600" w:lineRule="exact"/>
        <w:rPr>
          <w:highlight w:val="none"/>
        </w:rPr>
      </w:pPr>
      <w:r>
        <w:rPr>
          <w:highlight w:val="none"/>
        </w:rPr>
        <w:fldChar w:fldCharType="end"/>
      </w:r>
    </w:p>
    <w:p>
      <w:pPr>
        <w:rPr>
          <w:highlight w:val="none"/>
        </w:rPr>
      </w:pPr>
    </w:p>
    <w:p>
      <w:pPr>
        <w:rPr>
          <w:highlight w:val="none"/>
        </w:rPr>
      </w:pPr>
      <w:r>
        <w:rPr>
          <w:rFonts w:eastAsia="方正楷体简体"/>
          <w:sz w:val="32"/>
          <w:szCs w:val="32"/>
          <w:highlight w:val="none"/>
        </w:rPr>
        <w:fldChar w:fldCharType="begin"/>
      </w:r>
      <w:r>
        <w:rPr>
          <w:rFonts w:eastAsia="方正楷体简体"/>
          <w:sz w:val="32"/>
          <w:szCs w:val="32"/>
          <w:highlight w:val="none"/>
        </w:rPr>
        <w:instrText xml:space="preserve">TOC \o "1-3" \h \u </w:instrText>
      </w:r>
      <w:r>
        <w:rPr>
          <w:rFonts w:eastAsia="方正楷体简体"/>
          <w:sz w:val="32"/>
          <w:szCs w:val="32"/>
          <w:highlight w:val="none"/>
        </w:rPr>
        <w:fldChar w:fldCharType="separate"/>
      </w:r>
      <w:r>
        <w:rPr>
          <w:rFonts w:eastAsia="方正楷体简体"/>
          <w:sz w:val="32"/>
          <w:szCs w:val="32"/>
          <w:highlight w:val="none"/>
        </w:rPr>
        <w:fldChar w:fldCharType="end"/>
      </w:r>
    </w:p>
    <w:p>
      <w:pPr>
        <w:spacing w:line="360" w:lineRule="auto"/>
        <w:rPr>
          <w:sz w:val="24"/>
          <w:highlight w:val="none"/>
        </w:rPr>
        <w:sectPr>
          <w:footerReference r:id="rId13" w:type="default"/>
          <w:pgSz w:w="11906" w:h="16838"/>
          <w:pgMar w:top="1927" w:right="1304" w:bottom="1531" w:left="1531" w:header="851" w:footer="1417" w:gutter="0"/>
          <w:pgNumType w:fmt="numberInDash" w:start="7"/>
          <w:cols w:space="720" w:num="1"/>
          <w:rtlGutter w:val="0"/>
          <w:docGrid w:type="lines" w:linePitch="312" w:charSpace="0"/>
        </w:sectPr>
      </w:pPr>
    </w:p>
    <w:p>
      <w:pPr>
        <w:spacing w:line="600" w:lineRule="exact"/>
        <w:ind w:firstLine="640" w:firstLineChars="200"/>
        <w:rPr>
          <w:rFonts w:hint="eastAsia" w:ascii="仿宋_GB2312" w:hAnsi="仿宋_GB2312" w:eastAsia="仿宋_GB2312" w:cs="仿宋_GB2312"/>
          <w:sz w:val="32"/>
          <w:szCs w:val="32"/>
          <w:highlight w:val="none"/>
          <w:lang w:bidi="zh-TW"/>
        </w:rPr>
      </w:pPr>
      <w:bookmarkStart w:id="19" w:name="_Toc54543906"/>
      <w:bookmarkStart w:id="20" w:name="_Toc16153"/>
      <w:r>
        <w:rPr>
          <w:rFonts w:hint="eastAsia" w:ascii="仿宋_GB2312" w:hAnsi="仿宋_GB2312" w:eastAsia="仿宋_GB2312" w:cs="仿宋_GB2312"/>
          <w:sz w:val="32"/>
          <w:szCs w:val="32"/>
          <w:highlight w:val="none"/>
          <w:lang w:bidi="zh-TW"/>
        </w:rPr>
        <w:t>民族要复兴，乡村必振兴。稳住农业基本盘、守好“三农”基础是应变局、开新局的压舱石。“十四五”期间扎实推进农业农村各项工作，对新征程开好局起好步和全市经济行稳致远、社会安定和谐，具有重要的意义。为深入贯彻习近平总书记关于“三农”工作</w:t>
      </w:r>
      <w:r>
        <w:rPr>
          <w:rFonts w:hint="eastAsia" w:ascii="仿宋_GB2312" w:hAnsi="仿宋_GB2312" w:eastAsia="仿宋_GB2312" w:cs="仿宋_GB2312"/>
          <w:color w:val="auto"/>
          <w:sz w:val="32"/>
          <w:szCs w:val="32"/>
          <w:highlight w:val="none"/>
          <w:lang w:bidi="zh-TW"/>
        </w:rPr>
        <w:t>的</w:t>
      </w:r>
      <w:r>
        <w:rPr>
          <w:rFonts w:hint="eastAsia" w:ascii="仿宋_GB2312" w:hAnsi="仿宋_GB2312" w:eastAsia="仿宋_GB2312" w:cs="仿宋_GB2312"/>
          <w:sz w:val="32"/>
          <w:szCs w:val="32"/>
          <w:highlight w:val="none"/>
          <w:lang w:bidi="zh-TW"/>
        </w:rPr>
        <w:t>重要论述，全面贯彻落实党的十九大和十九届历次全会精神，贯彻落实省委十二届历次全会精神，全面推进乡村振兴，加快农业农村现代化，依据《中共茂名市委关于制定茂名市国民经济和社会发展第十四个五年规划和二〇三五年远景目标的建议》《茂</w:t>
      </w:r>
      <w:r>
        <w:rPr>
          <w:rFonts w:hint="eastAsia" w:ascii="仿宋_GB2312" w:hAnsi="仿宋_GB2312" w:eastAsia="仿宋_GB2312" w:cs="仿宋_GB2312"/>
          <w:sz w:val="32"/>
          <w:szCs w:val="32"/>
          <w:highlight w:val="none"/>
        </w:rPr>
        <w:t>名市国民经济和社会发展第十四个五年</w:t>
      </w:r>
      <w:r>
        <w:rPr>
          <w:rFonts w:hint="eastAsia" w:hAnsi="仿宋_GB2312" w:eastAsia="仿宋_GB2312" w:cs="仿宋_GB2312"/>
          <w:kern w:val="0"/>
          <w:sz w:val="32"/>
          <w:szCs w:val="22"/>
          <w:highlight w:val="none"/>
        </w:rPr>
        <w:t>规划和2035年</w:t>
      </w:r>
      <w:r>
        <w:rPr>
          <w:rFonts w:hint="eastAsia" w:hAnsi="仿宋_GB2312" w:eastAsia="仿宋_GB2312" w:cs="仿宋_GB2312"/>
          <w:kern w:val="0"/>
          <w:sz w:val="32"/>
          <w:szCs w:val="22"/>
          <w:highlight w:val="none"/>
          <w:lang w:bidi="zh-TW"/>
        </w:rPr>
        <w:t>远景</w:t>
      </w:r>
      <w:r>
        <w:rPr>
          <w:rFonts w:hint="eastAsia" w:ascii="仿宋_GB2312" w:hAnsi="仿宋_GB2312" w:eastAsia="仿宋_GB2312" w:cs="仿宋_GB2312"/>
          <w:sz w:val="32"/>
          <w:szCs w:val="32"/>
          <w:highlight w:val="none"/>
          <w:lang w:bidi="zh-TW"/>
        </w:rPr>
        <w:t>目标纲要》和《广东省推进农业农村现代化“十四五”规划》，衔接</w:t>
      </w:r>
      <w:r>
        <w:rPr>
          <w:rFonts w:hint="eastAsia" w:hAnsi="仿宋_GB2312" w:eastAsia="仿宋_GB2312" w:cs="仿宋_GB2312"/>
          <w:sz w:val="32"/>
          <w:szCs w:val="22"/>
          <w:highlight w:val="none"/>
        </w:rPr>
        <w:t>《茂名市实施乡村振兴战略规划（2018—2022年）》，编制</w:t>
      </w:r>
      <w:r>
        <w:rPr>
          <w:rFonts w:hint="eastAsia" w:ascii="仿宋_GB2312" w:hAnsi="仿宋_GB2312" w:eastAsia="仿宋_GB2312" w:cs="仿宋_GB2312"/>
          <w:sz w:val="32"/>
          <w:szCs w:val="32"/>
          <w:highlight w:val="none"/>
          <w:lang w:bidi="zh-TW"/>
        </w:rPr>
        <w:t>本规划。本规划是当前和今后一个时期指导全市农业农村现代化和乡村振兴战略实施的行动纲领。</w:t>
      </w:r>
    </w:p>
    <w:p>
      <w:pPr>
        <w:spacing w:line="600" w:lineRule="exact"/>
        <w:ind w:firstLine="640" w:firstLineChars="200"/>
        <w:rPr>
          <w:rFonts w:hint="eastAsia" w:ascii="仿宋_GB2312" w:hAnsi="仿宋_GB2312" w:eastAsia="仿宋_GB2312" w:cs="仿宋_GB2312"/>
          <w:sz w:val="32"/>
          <w:szCs w:val="32"/>
          <w:highlight w:val="none"/>
          <w:lang w:bidi="zh-TW"/>
        </w:rPr>
      </w:pPr>
    </w:p>
    <w:bookmarkEnd w:id="19"/>
    <w:p>
      <w:pPr>
        <w:pStyle w:val="4"/>
        <w:spacing w:before="0" w:beforeLines="0" w:after="0" w:afterLines="0" w:line="600" w:lineRule="exact"/>
        <w:jc w:val="center"/>
        <w:rPr>
          <w:rFonts w:eastAsia="方正小标宋简体"/>
          <w:b w:val="0"/>
          <w:bCs w:val="0"/>
          <w:kern w:val="2"/>
          <w:sz w:val="36"/>
          <w:szCs w:val="36"/>
          <w:highlight w:val="none"/>
        </w:rPr>
      </w:pPr>
      <w:bookmarkStart w:id="21" w:name="_Toc32101"/>
      <w:bookmarkStart w:id="22" w:name="_Toc23095"/>
      <w:bookmarkStart w:id="23" w:name="_Toc21688"/>
      <w:bookmarkStart w:id="24" w:name="_Toc20798"/>
      <w:bookmarkStart w:id="25" w:name="_Toc368"/>
      <w:bookmarkStart w:id="26" w:name="_Toc12363"/>
      <w:bookmarkStart w:id="27" w:name="_Toc4813"/>
      <w:bookmarkStart w:id="28" w:name="_Toc14264"/>
      <w:bookmarkStart w:id="29" w:name="_Toc20149"/>
      <w:bookmarkStart w:id="30" w:name="_Toc22068"/>
      <w:bookmarkStart w:id="31" w:name="_Toc5073"/>
      <w:bookmarkStart w:id="32" w:name="_Toc4079"/>
      <w:bookmarkStart w:id="33" w:name="_Toc7210"/>
      <w:bookmarkStart w:id="34" w:name="_Toc2168"/>
      <w:r>
        <w:rPr>
          <w:rFonts w:eastAsia="方正小标宋简体"/>
          <w:b w:val="0"/>
          <w:bCs w:val="0"/>
          <w:kern w:val="2"/>
          <w:sz w:val="36"/>
          <w:szCs w:val="36"/>
          <w:highlight w:val="none"/>
        </w:rPr>
        <w:t>第一章  研判形势 准确</w:t>
      </w:r>
      <w:bookmarkEnd w:id="17"/>
      <w:r>
        <w:rPr>
          <w:rFonts w:eastAsia="方正小标宋简体"/>
          <w:b w:val="0"/>
          <w:bCs w:val="0"/>
          <w:kern w:val="2"/>
          <w:sz w:val="36"/>
          <w:szCs w:val="36"/>
          <w:highlight w:val="none"/>
        </w:rPr>
        <w:t>把握</w:t>
      </w:r>
      <w:bookmarkEnd w:id="20"/>
      <w:r>
        <w:rPr>
          <w:rFonts w:eastAsia="方正小标宋简体"/>
          <w:b w:val="0"/>
          <w:bCs w:val="0"/>
          <w:kern w:val="2"/>
          <w:sz w:val="36"/>
          <w:szCs w:val="36"/>
          <w:highlight w:val="none"/>
        </w:rPr>
        <w:t>新阶段新要求</w:t>
      </w:r>
      <w:bookmarkEnd w:id="21"/>
      <w:bookmarkEnd w:id="22"/>
      <w:bookmarkEnd w:id="23"/>
      <w:bookmarkEnd w:id="24"/>
      <w:bookmarkEnd w:id="25"/>
      <w:bookmarkEnd w:id="26"/>
      <w:bookmarkEnd w:id="27"/>
      <w:bookmarkEnd w:id="28"/>
      <w:bookmarkEnd w:id="29"/>
      <w:bookmarkEnd w:id="30"/>
      <w:bookmarkEnd w:id="31"/>
      <w:bookmarkEnd w:id="32"/>
      <w:bookmarkEnd w:id="33"/>
      <w:bookmarkEnd w:id="34"/>
    </w:p>
    <w:p>
      <w:pPr>
        <w:spacing w:line="600" w:lineRule="exact"/>
        <w:ind w:firstLine="600"/>
        <w:rPr>
          <w:rFonts w:hint="eastAsia" w:ascii="仿宋_GB2312" w:hAnsi="仿宋_GB2312" w:eastAsia="仿宋_GB2312" w:cs="仿宋_GB2312"/>
          <w:sz w:val="32"/>
          <w:szCs w:val="32"/>
          <w:highlight w:val="none"/>
          <w:lang w:bidi="zh-TW"/>
        </w:rPr>
      </w:pPr>
      <w:bookmarkStart w:id="35" w:name="_Toc17704"/>
      <w:r>
        <w:rPr>
          <w:rFonts w:hint="eastAsia" w:ascii="仿宋_GB2312" w:hAnsi="仿宋_GB2312" w:eastAsia="仿宋_GB2312" w:cs="仿宋_GB2312"/>
          <w:sz w:val="32"/>
          <w:szCs w:val="32"/>
          <w:highlight w:val="none"/>
          <w:lang w:bidi="zh-TW"/>
        </w:rPr>
        <w:t>“十四五”时期是我国全面建成小康社会、实现第一个百年奋斗目标之后，乘势而上开启全面建设社会主义现代化国家新征程、向第二个百年奋斗目标进军的第一个五年，也是全面实施乡村振兴战略、加快推进农业农村现代化的关键五年，深刻认识和准确把握新发展阶段新使命、新机遇、新挑战，科学谋划和推进农业农村发展，是全市全面推进社会主义现代化建设的重要任务。</w:t>
      </w:r>
      <w:bookmarkStart w:id="36" w:name="_Toc54543907"/>
    </w:p>
    <w:bookmarkEnd w:id="36"/>
    <w:p>
      <w:pPr>
        <w:pStyle w:val="5"/>
        <w:spacing w:before="0" w:beforeLines="0" w:after="0" w:afterLines="0" w:line="600" w:lineRule="exact"/>
        <w:jc w:val="center"/>
        <w:rPr>
          <w:rFonts w:ascii="Times New Roman" w:hAnsi="Times New Roman" w:eastAsia="黑体"/>
          <w:b w:val="0"/>
          <w:bCs w:val="0"/>
          <w:sz w:val="32"/>
          <w:highlight w:val="none"/>
        </w:rPr>
      </w:pPr>
      <w:bookmarkStart w:id="37" w:name="_Toc26312"/>
      <w:bookmarkStart w:id="38" w:name="_Toc30135"/>
      <w:bookmarkStart w:id="39" w:name="_Toc21525"/>
      <w:bookmarkStart w:id="40" w:name="_Toc8112"/>
      <w:bookmarkStart w:id="41" w:name="_Toc20793"/>
      <w:bookmarkStart w:id="42" w:name="_Toc15009"/>
      <w:bookmarkStart w:id="43" w:name="_Toc5610"/>
      <w:bookmarkStart w:id="44" w:name="_Toc4794"/>
      <w:bookmarkStart w:id="45" w:name="_Toc23647"/>
      <w:bookmarkStart w:id="46" w:name="_Toc28052"/>
      <w:bookmarkStart w:id="47" w:name="_Toc24494"/>
      <w:bookmarkStart w:id="48" w:name="_Toc61"/>
      <w:bookmarkStart w:id="49" w:name="_Toc3554"/>
      <w:bookmarkStart w:id="50" w:name="_Toc30061"/>
      <w:r>
        <w:rPr>
          <w:rFonts w:ascii="Times New Roman" w:hAnsi="Times New Roman" w:eastAsia="黑体"/>
          <w:b w:val="0"/>
          <w:bCs w:val="0"/>
          <w:sz w:val="32"/>
          <w:highlight w:val="none"/>
        </w:rPr>
        <w:t>第一节  推进农业农村现代化基础坚实</w:t>
      </w:r>
      <w:bookmarkEnd w:id="37"/>
      <w:bookmarkEnd w:id="38"/>
      <w:bookmarkEnd w:id="39"/>
      <w:bookmarkEnd w:id="40"/>
      <w:bookmarkEnd w:id="41"/>
      <w:bookmarkEnd w:id="42"/>
      <w:bookmarkEnd w:id="43"/>
      <w:bookmarkEnd w:id="44"/>
      <w:bookmarkEnd w:id="45"/>
      <w:bookmarkEnd w:id="46"/>
      <w:bookmarkEnd w:id="47"/>
      <w:bookmarkEnd w:id="48"/>
      <w:bookmarkEnd w:id="49"/>
      <w:bookmarkEnd w:id="50"/>
    </w:p>
    <w:bookmarkEnd w:id="35"/>
    <w:p>
      <w:pPr>
        <w:spacing w:line="600" w:lineRule="exact"/>
        <w:ind w:firstLine="600"/>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茂名“三高”农业享誉国内外，“十三五”期间，全市抢抓乡村振兴重大战略机遇，以现代农业产业园、国家田园综合体试点为龙头，加快构建现代农业产业、生产、经营三大体系，着力打造新时代“三高”农业升级版，全面推动农业加快升级、农村加快进步、农民加快发展和新型工农城乡关系加快构建，基本完成“十三五”规划目标，为“十四五”开启新征程、实现新发展打下坚实的基础。</w:t>
      </w:r>
    </w:p>
    <w:p>
      <w:pPr>
        <w:pStyle w:val="6"/>
        <w:spacing w:before="0" w:beforeLines="0" w:after="0" w:afterLines="0" w:line="600" w:lineRule="exact"/>
        <w:ind w:firstLine="640" w:firstLineChars="200"/>
        <w:rPr>
          <w:rFonts w:hint="eastAsia" w:ascii="黑体" w:hAnsi="黑体" w:eastAsia="黑体" w:cs="黑体"/>
          <w:b w:val="0"/>
          <w:bCs w:val="0"/>
          <w:highlight w:val="none"/>
          <w:lang w:bidi="zh-TW"/>
        </w:rPr>
      </w:pPr>
      <w:bookmarkStart w:id="51" w:name="_Toc12623"/>
      <w:bookmarkStart w:id="52" w:name="_Toc32024"/>
      <w:bookmarkStart w:id="53" w:name="_Toc26095"/>
      <w:bookmarkStart w:id="54" w:name="_Toc25646"/>
      <w:bookmarkStart w:id="55" w:name="_Toc31426"/>
      <w:bookmarkStart w:id="56" w:name="_Toc31810"/>
      <w:bookmarkStart w:id="57" w:name="_Toc1957"/>
      <w:bookmarkStart w:id="58" w:name="_Toc17966"/>
      <w:r>
        <w:rPr>
          <w:rFonts w:hint="eastAsia" w:ascii="黑体" w:hAnsi="黑体" w:eastAsia="黑体" w:cs="黑体"/>
          <w:b w:val="0"/>
          <w:bCs w:val="0"/>
          <w:highlight w:val="none"/>
        </w:rPr>
        <w:t>一、</w:t>
      </w:r>
      <w:r>
        <w:rPr>
          <w:rFonts w:hint="eastAsia" w:ascii="黑体" w:hAnsi="黑体" w:eastAsia="黑体" w:cs="黑体"/>
          <w:b w:val="0"/>
          <w:bCs w:val="0"/>
          <w:highlight w:val="none"/>
          <w:lang w:bidi="zh-TW"/>
        </w:rPr>
        <w:t>农业农村工作不断创新</w:t>
      </w:r>
      <w:bookmarkEnd w:id="51"/>
      <w:bookmarkEnd w:id="52"/>
      <w:bookmarkEnd w:id="53"/>
      <w:bookmarkEnd w:id="54"/>
      <w:bookmarkEnd w:id="55"/>
      <w:bookmarkEnd w:id="56"/>
      <w:bookmarkEnd w:id="57"/>
      <w:bookmarkEnd w:id="58"/>
    </w:p>
    <w:p>
      <w:pPr>
        <w:spacing w:line="600" w:lineRule="exact"/>
        <w:ind w:firstLine="600"/>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十一届三中全会后，茂名市积极探索农业农村现代化发展之路。</w:t>
      </w:r>
      <w:r>
        <w:rPr>
          <w:rFonts w:hint="eastAsia" w:hAnsi="仿宋_GB2312" w:eastAsia="仿宋_GB2312" w:cs="仿宋_GB2312"/>
          <w:sz w:val="32"/>
          <w:szCs w:val="32"/>
          <w:highlight w:val="none"/>
          <w:lang w:bidi="zh-TW"/>
        </w:rPr>
        <w:t>1995年，茂</w:t>
      </w:r>
      <w:r>
        <w:rPr>
          <w:rFonts w:hint="eastAsia" w:ascii="仿宋_GB2312" w:hAnsi="仿宋_GB2312" w:eastAsia="仿宋_GB2312" w:cs="仿宋_GB2312"/>
          <w:sz w:val="32"/>
          <w:szCs w:val="32"/>
          <w:highlight w:val="none"/>
          <w:lang w:bidi="zh-TW"/>
        </w:rPr>
        <w:t>名市高州市发展“三高”农业的成功经验，被写入了广东省委、省政府《关于加快“三高”农业发</w:t>
      </w:r>
      <w:r>
        <w:rPr>
          <w:rFonts w:hint="eastAsia" w:hAnsi="仿宋_GB2312" w:eastAsia="仿宋_GB2312" w:cs="仿宋_GB2312"/>
          <w:sz w:val="32"/>
          <w:szCs w:val="32"/>
          <w:highlight w:val="none"/>
          <w:lang w:bidi="zh-TW"/>
        </w:rPr>
        <w:t>展的决定》中，并向全省各地推广；后于1995年6月中共中央政策研究室、国务院研究室、</w:t>
      </w:r>
      <w:r>
        <w:rPr>
          <w:rFonts w:hint="eastAsia" w:ascii="仿宋_GB2312" w:hAnsi="仿宋_GB2312" w:eastAsia="仿宋_GB2312" w:cs="仿宋_GB2312"/>
          <w:sz w:val="32"/>
          <w:szCs w:val="32"/>
          <w:highlight w:val="none"/>
          <w:lang w:bidi="zh-TW"/>
        </w:rPr>
        <w:t>广东省委政策研究室等单位联合主办的“三高”农业发展研讨会上向全国推广。“十三五”期间，茂名市委市政府继续秉承改革创新精神，在农业农村现代化方面持续发力，在农业产业高质量发展、农村人居环境改善、农</w:t>
      </w:r>
      <w:r>
        <w:rPr>
          <w:rFonts w:hint="eastAsia" w:hAnsi="仿宋_GB2312" w:eastAsia="仿宋_GB2312" w:cs="仿宋_GB2312"/>
          <w:sz w:val="32"/>
          <w:szCs w:val="32"/>
          <w:highlight w:val="none"/>
          <w:lang w:bidi="zh-TW"/>
        </w:rPr>
        <w:t>村基层党建等方面</w:t>
      </w:r>
      <w:r>
        <w:rPr>
          <w:rFonts w:hint="eastAsia" w:ascii="仿宋_GB2312" w:hAnsi="仿宋_GB2312" w:eastAsia="仿宋_GB2312" w:cs="仿宋_GB2312"/>
          <w:sz w:val="32"/>
          <w:szCs w:val="32"/>
          <w:highlight w:val="none"/>
          <w:lang w:bidi="zh-TW"/>
        </w:rPr>
        <w:t>持续创新，先后打造了茂名荔枝产业高质量发展样板、农村电商助力乡村振兴、一二三产业融合、高州市“阳光治村”、好心茂名、“候任村（社区）干部”制度、县</w:t>
      </w:r>
      <w:r>
        <w:rPr>
          <w:rFonts w:hint="eastAsia" w:hAnsi="仿宋_GB2312" w:eastAsia="仿宋_GB2312" w:cs="仿宋_GB2312"/>
          <w:sz w:val="32"/>
          <w:szCs w:val="32"/>
          <w:highlight w:val="none"/>
          <w:lang w:bidi="zh-TW"/>
        </w:rPr>
        <w:t>级医院能力</w:t>
      </w:r>
      <w:r>
        <w:rPr>
          <w:rFonts w:hint="eastAsia" w:ascii="仿宋_GB2312" w:hAnsi="仿宋_GB2312" w:eastAsia="仿宋_GB2312" w:cs="仿宋_GB2312"/>
          <w:sz w:val="32"/>
          <w:szCs w:val="32"/>
          <w:highlight w:val="none"/>
          <w:lang w:bidi="zh-TW"/>
        </w:rPr>
        <w:t>提升“高州样本”等成功经验，在国内、省内广泛推广。</w:t>
      </w:r>
    </w:p>
    <w:p>
      <w:pPr>
        <w:pStyle w:val="6"/>
        <w:spacing w:before="0" w:beforeLines="0" w:after="0" w:afterLines="0" w:line="600" w:lineRule="exact"/>
        <w:ind w:firstLine="640" w:firstLineChars="200"/>
        <w:rPr>
          <w:rFonts w:hint="eastAsia" w:ascii="黑体" w:hAnsi="黑体" w:eastAsia="黑体" w:cs="黑体"/>
          <w:b w:val="0"/>
          <w:bCs w:val="0"/>
          <w:highlight w:val="none"/>
          <w:lang w:bidi="zh-TW"/>
        </w:rPr>
      </w:pPr>
      <w:bookmarkStart w:id="59" w:name="_Toc21181"/>
      <w:bookmarkStart w:id="60" w:name="_Toc22071"/>
      <w:bookmarkStart w:id="61" w:name="_Toc27205"/>
      <w:bookmarkStart w:id="62" w:name="_Toc6080"/>
      <w:bookmarkStart w:id="63" w:name="_Toc30597"/>
      <w:bookmarkStart w:id="64" w:name="_Toc8385"/>
      <w:bookmarkStart w:id="65" w:name="_Toc20695"/>
      <w:bookmarkStart w:id="66" w:name="_Toc7557"/>
      <w:bookmarkStart w:id="67" w:name="_Toc17856"/>
      <w:bookmarkStart w:id="68" w:name="_Toc28802"/>
      <w:bookmarkStart w:id="69" w:name="_Toc13084"/>
      <w:bookmarkStart w:id="70" w:name="_Toc17957"/>
      <w:bookmarkStart w:id="71" w:name="_Toc21267"/>
      <w:bookmarkStart w:id="72" w:name="_Toc2348"/>
      <w:bookmarkStart w:id="73" w:name="_Toc25432"/>
      <w:bookmarkStart w:id="74" w:name="_Toc322"/>
      <w:r>
        <w:rPr>
          <w:rFonts w:hint="eastAsia" w:ascii="黑体" w:hAnsi="黑体" w:eastAsia="黑体" w:cs="黑体"/>
          <w:b w:val="0"/>
          <w:bCs w:val="0"/>
          <w:highlight w:val="none"/>
          <w:lang w:bidi="zh-TW"/>
        </w:rPr>
        <w:t>二、农业经济综合实力不断提升</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spacing w:line="600" w:lineRule="exact"/>
        <w:ind w:firstLine="600"/>
        <w:rPr>
          <w:rFonts w:hint="eastAsia" w:hAnsi="仿宋_GB2312" w:eastAsia="仿宋_GB2312" w:cs="仿宋_GB2312"/>
          <w:sz w:val="32"/>
          <w:szCs w:val="32"/>
          <w:highlight w:val="yellow"/>
          <w:lang w:bidi="zh-TW"/>
        </w:rPr>
      </w:pPr>
      <w:r>
        <w:rPr>
          <w:rFonts w:hint="eastAsia" w:ascii="仿宋_GB2312" w:hAnsi="仿宋_GB2312" w:eastAsia="仿宋_GB2312" w:cs="仿宋_GB2312"/>
          <w:sz w:val="32"/>
          <w:szCs w:val="32"/>
          <w:highlight w:val="none"/>
          <w:lang w:bidi="zh-TW"/>
        </w:rPr>
        <w:t>“十三五”期间，茂名农业经</w:t>
      </w:r>
      <w:r>
        <w:rPr>
          <w:rFonts w:hint="eastAsia" w:hAnsi="仿宋_GB2312" w:eastAsia="仿宋_GB2312" w:cs="仿宋_GB2312"/>
          <w:sz w:val="32"/>
          <w:szCs w:val="32"/>
          <w:highlight w:val="none"/>
          <w:lang w:bidi="zh-TW"/>
        </w:rPr>
        <w:t>济综合实力稳步增长。2020年，农林牧渔业总产值突破千亿元大关、达1038.5亿元，居全省第一位，农林牧渔业增加值659.82亿元，</w:t>
      </w:r>
      <w:r>
        <w:rPr>
          <w:rFonts w:hint="eastAsia" w:ascii="仿宋_GB2312" w:hAnsi="仿宋_GB2312" w:eastAsia="仿宋_GB2312" w:cs="仿宋_GB2312"/>
          <w:sz w:val="32"/>
          <w:szCs w:val="32"/>
          <w:highlight w:val="none"/>
          <w:lang w:bidi="zh-TW"/>
        </w:rPr>
        <w:t>“十三五”期</w:t>
      </w:r>
      <w:r>
        <w:rPr>
          <w:rFonts w:hint="eastAsia" w:hAnsi="仿宋_GB2312" w:eastAsia="仿宋_GB2312" w:cs="仿宋_GB2312"/>
          <w:sz w:val="32"/>
          <w:szCs w:val="32"/>
          <w:highlight w:val="none"/>
          <w:lang w:bidi="zh-TW"/>
        </w:rPr>
        <w:t>间年均增长分别达4.2%、4.5%（图1-1），农业对全市经济发</w:t>
      </w:r>
      <w:r>
        <w:rPr>
          <w:rFonts w:hint="eastAsia" w:ascii="仿宋_GB2312" w:hAnsi="仿宋_GB2312" w:eastAsia="仿宋_GB2312" w:cs="仿宋_GB2312"/>
          <w:sz w:val="32"/>
          <w:szCs w:val="32"/>
          <w:highlight w:val="none"/>
          <w:lang w:bidi="zh-TW"/>
        </w:rPr>
        <w:t>展“压舱石”作</w:t>
      </w:r>
      <w:r>
        <w:rPr>
          <w:rFonts w:hint="eastAsia" w:hAnsi="仿宋_GB2312" w:eastAsia="仿宋_GB2312" w:cs="仿宋_GB2312"/>
          <w:sz w:val="32"/>
          <w:szCs w:val="32"/>
          <w:highlight w:val="none"/>
          <w:lang w:bidi="zh-TW"/>
        </w:rPr>
        <w:t>用不断巩固。2020年第一产业增加值达648.68亿元，</w:t>
      </w:r>
      <w:r>
        <w:rPr>
          <w:rFonts w:hint="eastAsia" w:ascii="仿宋_GB2312" w:hAnsi="仿宋_GB2312" w:eastAsia="仿宋_GB2312" w:cs="仿宋_GB2312"/>
          <w:sz w:val="32"/>
          <w:szCs w:val="32"/>
          <w:highlight w:val="none"/>
          <w:lang w:bidi="zh-TW"/>
        </w:rPr>
        <w:t>“十三五”期</w:t>
      </w:r>
      <w:r>
        <w:rPr>
          <w:rFonts w:hint="eastAsia" w:hAnsi="仿宋_GB2312" w:eastAsia="仿宋_GB2312" w:cs="仿宋_GB2312"/>
          <w:sz w:val="32"/>
          <w:szCs w:val="32"/>
          <w:highlight w:val="none"/>
          <w:lang w:bidi="zh-TW"/>
        </w:rPr>
        <w:t>间年均增长4.28%，占地区生产总值的比重从2015年的16.32%增加至2020年的19.78%。</w:t>
      </w:r>
    </w:p>
    <w:p>
      <w:pPr>
        <w:pStyle w:val="2"/>
        <w:ind w:left="0" w:leftChars="0" w:firstLine="0" w:firstLineChars="0"/>
        <w:rPr>
          <w:rFonts w:eastAsia="仿宋"/>
          <w:sz w:val="30"/>
          <w:szCs w:val="24"/>
          <w:highlight w:val="yellow"/>
        </w:rPr>
      </w:pPr>
    </w:p>
    <w:p>
      <w:pPr>
        <w:ind w:firstLine="600"/>
        <w:jc w:val="center"/>
        <w:rPr>
          <w:rFonts w:eastAsia="方正仿宋_GB2312"/>
          <w:sz w:val="32"/>
          <w:szCs w:val="32"/>
          <w:highlight w:val="yellow"/>
        </w:rPr>
      </w:pPr>
      <w:r>
        <w:rPr>
          <w:highlight w:val="yellow"/>
        </w:rPr>
        <w:drawing>
          <wp:inline distT="0" distB="0" distL="114300" distR="114300">
            <wp:extent cx="4017010" cy="2377440"/>
            <wp:effectExtent l="0" t="0" r="8890" b="1016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0"/>
                    <a:stretch>
                      <a:fillRect/>
                    </a:stretch>
                  </pic:blipFill>
                  <pic:spPr>
                    <a:xfrm>
                      <a:off x="0" y="0"/>
                      <a:ext cx="4017010" cy="2377440"/>
                    </a:xfrm>
                    <a:prstGeom prst="rect">
                      <a:avLst/>
                    </a:prstGeom>
                    <a:noFill/>
                    <a:ln>
                      <a:noFill/>
                    </a:ln>
                  </pic:spPr>
                </pic:pic>
              </a:graphicData>
            </a:graphic>
          </wp:inline>
        </w:drawing>
      </w:r>
    </w:p>
    <w:p>
      <w:pPr>
        <w:pStyle w:val="17"/>
        <w:ind w:firstLine="560"/>
        <w:jc w:val="center"/>
        <w:rPr>
          <w:rFonts w:ascii="Times New Roman" w:hAnsi="Times New Roman" w:eastAsia="仿宋" w:cs="Times New Roman"/>
          <w:szCs w:val="22"/>
          <w:highlight w:val="none"/>
        </w:rPr>
      </w:pPr>
      <w:r>
        <w:rPr>
          <w:rFonts w:ascii="Times New Roman" w:hAnsi="Times New Roman" w:eastAsia="黑体" w:cs="Times New Roman"/>
          <w:bCs/>
          <w:sz w:val="28"/>
          <w:szCs w:val="28"/>
          <w:highlight w:val="none"/>
        </w:rPr>
        <w:t>图1-1  茂名市2015</w:t>
      </w:r>
      <w:r>
        <w:rPr>
          <w:rFonts w:hint="eastAsia" w:ascii="Times New Roman" w:hAnsi="Times New Roman" w:eastAsia="黑体" w:cs="Times New Roman"/>
          <w:bCs/>
          <w:sz w:val="28"/>
          <w:szCs w:val="28"/>
          <w:highlight w:val="none"/>
        </w:rPr>
        <w:t>—</w:t>
      </w:r>
      <w:r>
        <w:rPr>
          <w:rFonts w:ascii="Times New Roman" w:hAnsi="Times New Roman" w:eastAsia="黑体" w:cs="Times New Roman"/>
          <w:bCs/>
          <w:sz w:val="28"/>
          <w:szCs w:val="28"/>
          <w:highlight w:val="none"/>
        </w:rPr>
        <w:t>20</w:t>
      </w:r>
      <w:r>
        <w:rPr>
          <w:rFonts w:hint="eastAsia" w:ascii="Times New Roman" w:hAnsi="Times New Roman" w:eastAsia="黑体" w:cs="Times New Roman"/>
          <w:bCs/>
          <w:sz w:val="28"/>
          <w:szCs w:val="28"/>
          <w:highlight w:val="none"/>
        </w:rPr>
        <w:t>20</w:t>
      </w:r>
      <w:r>
        <w:rPr>
          <w:rFonts w:ascii="Times New Roman" w:hAnsi="Times New Roman" w:eastAsia="黑体" w:cs="Times New Roman"/>
          <w:bCs/>
          <w:sz w:val="28"/>
          <w:szCs w:val="28"/>
          <w:highlight w:val="none"/>
        </w:rPr>
        <w:t>年农林牧渔业发展概况</w:t>
      </w:r>
    </w:p>
    <w:p>
      <w:pPr>
        <w:pStyle w:val="6"/>
        <w:spacing w:before="0" w:beforeLines="0" w:after="0" w:afterLines="0" w:line="600" w:lineRule="exact"/>
        <w:ind w:firstLine="640" w:firstLineChars="200"/>
        <w:rPr>
          <w:rFonts w:hint="eastAsia" w:ascii="黑体" w:hAnsi="黑体" w:eastAsia="黑体" w:cs="黑体"/>
          <w:b w:val="0"/>
          <w:bCs w:val="0"/>
          <w:highlight w:val="none"/>
          <w:lang w:bidi="zh-TW"/>
        </w:rPr>
      </w:pPr>
      <w:bookmarkStart w:id="75" w:name="_Toc7742"/>
      <w:bookmarkStart w:id="76" w:name="_Toc32567"/>
      <w:bookmarkStart w:id="77" w:name="_Toc31160"/>
      <w:bookmarkStart w:id="78" w:name="_Toc31914"/>
      <w:bookmarkStart w:id="79" w:name="_Toc1141"/>
      <w:bookmarkStart w:id="80" w:name="_Toc19231"/>
      <w:bookmarkStart w:id="81" w:name="_Toc17004"/>
      <w:bookmarkStart w:id="82" w:name="_Toc28573"/>
      <w:r>
        <w:rPr>
          <w:rFonts w:hint="eastAsia" w:ascii="黑体" w:hAnsi="黑体" w:eastAsia="黑体" w:cs="黑体"/>
          <w:b w:val="0"/>
          <w:bCs w:val="0"/>
          <w:highlight w:val="none"/>
          <w:lang w:bidi="zh-TW"/>
        </w:rPr>
        <w:t>三、</w:t>
      </w:r>
      <w:bookmarkStart w:id="83" w:name="_Toc32336"/>
      <w:bookmarkStart w:id="84" w:name="_Toc7094"/>
      <w:bookmarkStart w:id="85" w:name="_Toc13509"/>
      <w:bookmarkStart w:id="86" w:name="_Toc9497"/>
      <w:bookmarkStart w:id="87" w:name="_Toc20955"/>
      <w:bookmarkStart w:id="88" w:name="_Toc8191"/>
      <w:bookmarkStart w:id="89" w:name="_Toc14127"/>
      <w:r>
        <w:rPr>
          <w:rFonts w:hint="eastAsia" w:ascii="黑体" w:hAnsi="黑体" w:eastAsia="黑体" w:cs="黑体"/>
          <w:b w:val="0"/>
          <w:bCs w:val="0"/>
          <w:highlight w:val="none"/>
          <w:lang w:bidi="zh-TW"/>
        </w:rPr>
        <w:t>农产品供给能力稳步提升</w:t>
      </w:r>
      <w:bookmarkEnd w:id="74"/>
      <w:bookmarkEnd w:id="75"/>
      <w:bookmarkEnd w:id="76"/>
      <w:bookmarkEnd w:id="77"/>
      <w:bookmarkEnd w:id="78"/>
      <w:bookmarkEnd w:id="79"/>
      <w:bookmarkEnd w:id="80"/>
      <w:bookmarkEnd w:id="81"/>
      <w:bookmarkEnd w:id="83"/>
      <w:bookmarkEnd w:id="84"/>
      <w:bookmarkEnd w:id="85"/>
      <w:bookmarkEnd w:id="86"/>
      <w:bookmarkEnd w:id="87"/>
      <w:bookmarkEnd w:id="88"/>
      <w:bookmarkEnd w:id="89"/>
      <w:r>
        <w:rPr>
          <w:rStyle w:val="16"/>
          <w:rFonts w:hint="eastAsia" w:ascii="黑体" w:hAnsi="黑体" w:eastAsia="黑体" w:cs="黑体"/>
          <w:b w:val="0"/>
          <w:bCs w:val="0"/>
          <w:highlight w:val="none"/>
          <w:lang w:bidi="zh-TW"/>
        </w:rPr>
        <w:footnoteReference w:id="0"/>
      </w:r>
      <w:bookmarkEnd w:id="82"/>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sz w:val="32"/>
          <w:szCs w:val="32"/>
          <w:highlight w:val="none"/>
          <w:lang w:bidi="zh-TW"/>
        </w:rPr>
        <w:t>农业生产能力实现稳步增长，粮食、水果、蔬菜、畜禽、水产等种养殖增产增收，农产品供给能力稳步提升。全市粮食、花生、水果和肉类产量位居全省第一，水产品产量位居全省第三，北运菜远销全国100多个大中城市，是全国最大的北运菜生产基地之一。2020年，全市主要农作物播种面积675.27万亩，其中，粮食作物播种面积374.92万亩，总产量152.77万吨、比2015年增长5.45%。蔬菜播种面积182.42万亩，产量359.57万吨、比2015年增长29.26%。水果种植面积362.11万亩，产量425.63万吨、比2015年增长37.85%，其中荔枝产量51.74万吨，继续保持世界主产区地位；龙眼产量47.08万吨，比2015年增长28.74%；香蕉产量186.47万吨，三华李产量28.61万吨。肉类产量73.68万吨，比2015年增长17.05%。水产品产量达92.37万吨，比2015年增长8.82%，其中罗非鱼产量约23.12万吨，比2015年增长22.53%（图1-2），</w:t>
      </w:r>
      <w:r>
        <w:rPr>
          <w:rFonts w:hint="eastAsia" w:ascii="仿宋_GB2312" w:hAnsi="仿宋_GB2312" w:eastAsia="仿宋_GB2312" w:cs="仿宋_GB2312"/>
          <w:sz w:val="32"/>
          <w:szCs w:val="32"/>
          <w:highlight w:val="none"/>
          <w:lang w:bidi="zh-TW"/>
        </w:rPr>
        <w:t>为“十四五”</w:t>
      </w:r>
      <w:r>
        <w:rPr>
          <w:rFonts w:hint="eastAsia" w:hAnsi="仿宋_GB2312" w:eastAsia="仿宋_GB2312" w:cs="仿宋_GB2312"/>
          <w:sz w:val="32"/>
          <w:szCs w:val="32"/>
          <w:highlight w:val="none"/>
          <w:lang w:bidi="zh-TW"/>
        </w:rPr>
        <w:t>农业农村现代化发展提供坚实基础。</w:t>
      </w:r>
    </w:p>
    <w:p>
      <w:pPr>
        <w:pStyle w:val="17"/>
        <w:spacing w:line="240" w:lineRule="auto"/>
        <w:ind w:firstLine="640"/>
        <w:jc w:val="center"/>
        <w:rPr>
          <w:rFonts w:ascii="Times New Roman" w:hAnsi="Times New Roman" w:cs="Times New Roman"/>
          <w:highlight w:val="none"/>
        </w:rPr>
      </w:pPr>
      <w:r>
        <w:rPr>
          <w:highlight w:val="none"/>
        </w:rPr>
        <w:drawing>
          <wp:inline distT="0" distB="0" distL="114300" distR="114300">
            <wp:extent cx="4119245" cy="2414905"/>
            <wp:effectExtent l="0" t="0" r="8255" b="1079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1"/>
                    <a:stretch>
                      <a:fillRect/>
                    </a:stretch>
                  </pic:blipFill>
                  <pic:spPr>
                    <a:xfrm>
                      <a:off x="0" y="0"/>
                      <a:ext cx="4119245" cy="2414905"/>
                    </a:xfrm>
                    <a:prstGeom prst="rect">
                      <a:avLst/>
                    </a:prstGeom>
                    <a:noFill/>
                    <a:ln>
                      <a:noFill/>
                    </a:ln>
                  </pic:spPr>
                </pic:pic>
              </a:graphicData>
            </a:graphic>
          </wp:inline>
        </w:drawing>
      </w:r>
    </w:p>
    <w:p>
      <w:pPr>
        <w:pStyle w:val="17"/>
        <w:ind w:firstLine="640"/>
        <w:jc w:val="center"/>
        <w:rPr>
          <w:rFonts w:ascii="Times New Roman" w:hAnsi="Times New Roman" w:cs="Times New Roman"/>
          <w:highlight w:val="none"/>
        </w:rPr>
      </w:pPr>
      <w:r>
        <w:rPr>
          <w:rFonts w:ascii="Times New Roman" w:hAnsi="Times New Roman" w:eastAsia="黑体" w:cs="Times New Roman"/>
          <w:bCs/>
          <w:sz w:val="28"/>
          <w:szCs w:val="28"/>
          <w:highlight w:val="none"/>
        </w:rPr>
        <w:t>图1-2</w:t>
      </w:r>
      <w:r>
        <w:rPr>
          <w:rFonts w:hint="eastAsia" w:ascii="Times New Roman" w:hAnsi="Times New Roman" w:eastAsia="黑体" w:cs="Times New Roman"/>
          <w:bCs/>
          <w:sz w:val="28"/>
          <w:szCs w:val="28"/>
          <w:highlight w:val="none"/>
        </w:rPr>
        <w:t xml:space="preserve"> </w:t>
      </w:r>
      <w:r>
        <w:rPr>
          <w:rFonts w:ascii="Times New Roman" w:hAnsi="Times New Roman" w:eastAsia="黑体" w:cs="Times New Roman"/>
          <w:bCs/>
          <w:sz w:val="28"/>
          <w:szCs w:val="28"/>
          <w:highlight w:val="none"/>
        </w:rPr>
        <w:t xml:space="preserve"> 茂名市2015</w:t>
      </w:r>
      <w:r>
        <w:rPr>
          <w:rFonts w:hint="eastAsia" w:ascii="Times New Roman" w:hAnsi="Times New Roman" w:eastAsia="黑体" w:cs="Times New Roman"/>
          <w:bCs/>
          <w:sz w:val="28"/>
          <w:szCs w:val="28"/>
          <w:highlight w:val="none"/>
        </w:rPr>
        <w:t>—</w:t>
      </w:r>
      <w:r>
        <w:rPr>
          <w:rFonts w:ascii="Times New Roman" w:hAnsi="Times New Roman" w:eastAsia="黑体" w:cs="Times New Roman"/>
          <w:bCs/>
          <w:sz w:val="28"/>
          <w:szCs w:val="28"/>
          <w:highlight w:val="none"/>
        </w:rPr>
        <w:t>20</w:t>
      </w:r>
      <w:r>
        <w:rPr>
          <w:rFonts w:hint="eastAsia" w:ascii="Times New Roman" w:hAnsi="Times New Roman" w:eastAsia="黑体" w:cs="Times New Roman"/>
          <w:bCs/>
          <w:sz w:val="28"/>
          <w:szCs w:val="28"/>
          <w:highlight w:val="none"/>
        </w:rPr>
        <w:t>20</w:t>
      </w:r>
      <w:r>
        <w:rPr>
          <w:rFonts w:ascii="Times New Roman" w:hAnsi="Times New Roman" w:eastAsia="黑体" w:cs="Times New Roman"/>
          <w:bCs/>
          <w:sz w:val="28"/>
          <w:szCs w:val="28"/>
          <w:highlight w:val="none"/>
        </w:rPr>
        <w:t>年农产品供给情况</w:t>
      </w:r>
    </w:p>
    <w:p>
      <w:pPr>
        <w:pStyle w:val="6"/>
        <w:spacing w:before="0" w:beforeLines="0" w:after="0" w:afterLines="0" w:line="600" w:lineRule="exact"/>
        <w:ind w:firstLine="640" w:firstLineChars="200"/>
        <w:rPr>
          <w:rFonts w:hint="eastAsia" w:ascii="黑体" w:hAnsi="黑体" w:eastAsia="黑体" w:cs="黑体"/>
          <w:b w:val="0"/>
          <w:bCs w:val="0"/>
          <w:szCs w:val="22"/>
          <w:highlight w:val="none"/>
        </w:rPr>
      </w:pPr>
      <w:bookmarkStart w:id="90" w:name="_Toc17731"/>
      <w:bookmarkStart w:id="91" w:name="_Toc3625"/>
      <w:bookmarkStart w:id="92" w:name="_Toc10566"/>
      <w:bookmarkStart w:id="93" w:name="_Toc16699"/>
      <w:bookmarkStart w:id="94" w:name="_Toc19531"/>
      <w:bookmarkStart w:id="95" w:name="_Toc3945"/>
      <w:bookmarkStart w:id="96" w:name="_Toc27551"/>
      <w:bookmarkStart w:id="97" w:name="_Toc18393"/>
      <w:bookmarkStart w:id="98" w:name="_Toc4675"/>
      <w:bookmarkStart w:id="99" w:name="_Toc14761"/>
      <w:bookmarkStart w:id="100" w:name="_Toc4437"/>
      <w:bookmarkStart w:id="101" w:name="_Toc11536"/>
      <w:bookmarkStart w:id="102" w:name="_Toc32331"/>
      <w:bookmarkStart w:id="103" w:name="_Toc32372"/>
      <w:bookmarkStart w:id="104" w:name="_Toc19889"/>
      <w:r>
        <w:rPr>
          <w:rFonts w:hint="eastAsia" w:ascii="黑体" w:hAnsi="黑体" w:eastAsia="黑体" w:cs="黑体"/>
          <w:b w:val="0"/>
          <w:bCs w:val="0"/>
          <w:szCs w:val="22"/>
          <w:highlight w:val="none"/>
        </w:rPr>
        <w:t>四、农业现代化建设取得新进展</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spacing w:line="600" w:lineRule="exact"/>
        <w:ind w:firstLine="600"/>
        <w:rPr>
          <w:rFonts w:hint="eastAsia"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“十三五”期间，茂名市按照高产、优质、高效、生态、安全的要求，推进农业供给侧结构性</w:t>
      </w:r>
      <w:r>
        <w:rPr>
          <w:rFonts w:hint="eastAsia" w:hAnsi="仿宋_GB2312" w:eastAsia="仿宋_GB2312" w:cs="仿宋_GB2312"/>
          <w:sz w:val="32"/>
          <w:szCs w:val="32"/>
          <w:highlight w:val="none"/>
          <w:lang w:bidi="zh-TW"/>
        </w:rPr>
        <w:t>改革，加快转变农业发展方式，聚力推进农业高质量发展。</w:t>
      </w:r>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农业产业园区创建成效显著。</w:t>
      </w:r>
      <w:r>
        <w:rPr>
          <w:rFonts w:hint="eastAsia" w:hAnsi="仿宋_GB2312" w:eastAsia="仿宋_GB2312" w:cs="仿宋_GB2312"/>
          <w:sz w:val="32"/>
          <w:szCs w:val="32"/>
          <w:highlight w:val="none"/>
          <w:lang w:bidi="zh-TW"/>
        </w:rPr>
        <w:t>积极推进现代农业产业园区建设，形成了“1+1+2+8”现代农业发展新格局（1个国家现代农业产业园、1个国家农业科技园区、2个国家田园</w:t>
      </w:r>
      <w:r>
        <w:rPr>
          <w:rFonts w:hint="eastAsia" w:ascii="仿宋_GB2312" w:hAnsi="仿宋_GB2312" w:eastAsia="仿宋_GB2312" w:cs="仿宋_GB2312"/>
          <w:sz w:val="32"/>
          <w:szCs w:val="32"/>
          <w:highlight w:val="none"/>
          <w:lang w:bidi="zh-TW"/>
        </w:rPr>
        <w:t>综合体试点</w:t>
      </w:r>
      <w:r>
        <w:rPr>
          <w:rFonts w:hint="eastAsia" w:hAnsi="仿宋_GB2312" w:eastAsia="仿宋_GB2312" w:cs="仿宋_GB2312"/>
          <w:sz w:val="32"/>
          <w:szCs w:val="32"/>
          <w:highlight w:val="none"/>
          <w:lang w:bidi="zh-TW"/>
        </w:rPr>
        <w:t>和8个省级现代农业产业园），示范和带动效应逐步彰显，主导产业集群逐步形成，一二三产业融合发展加快，品牌建设加强，园区联农带农机制初步形成。</w:t>
      </w:r>
    </w:p>
    <w:p>
      <w:pPr>
        <w:spacing w:line="600" w:lineRule="exact"/>
        <w:ind w:firstLine="600"/>
        <w:rPr>
          <w:rFonts w:hint="eastAsia" w:hAnsi="仿宋_GB2312" w:eastAsia="仿宋_GB2312" w:cs="仿宋_GB2312"/>
          <w:kern w:val="0"/>
          <w:sz w:val="32"/>
          <w:szCs w:val="32"/>
          <w:highlight w:val="none"/>
          <w:lang w:bidi="zh-TW"/>
        </w:rPr>
      </w:pPr>
      <w:r>
        <w:rPr>
          <w:rFonts w:hint="eastAsia" w:ascii="仿宋_GB2312" w:hAnsi="仿宋_GB2312" w:eastAsia="仿宋_GB2312" w:cs="仿宋_GB2312"/>
          <w:b w:val="0"/>
          <w:bCs w:val="0"/>
          <w:kern w:val="0"/>
          <w:sz w:val="32"/>
          <w:szCs w:val="32"/>
          <w:highlight w:val="none"/>
          <w:lang w:bidi="zh-TW"/>
        </w:rPr>
        <w:t>“一村一品、一镇一业”建</w:t>
      </w:r>
      <w:r>
        <w:rPr>
          <w:rFonts w:hint="eastAsia" w:hAnsi="仿宋_GB2312" w:eastAsia="仿宋_GB2312" w:cs="仿宋_GB2312"/>
          <w:b w:val="0"/>
          <w:bCs w:val="0"/>
          <w:kern w:val="0"/>
          <w:sz w:val="32"/>
          <w:szCs w:val="32"/>
          <w:highlight w:val="none"/>
          <w:lang w:bidi="zh-TW"/>
        </w:rPr>
        <w:t>设走在全省前列。</w:t>
      </w:r>
      <w:r>
        <w:rPr>
          <w:rFonts w:hint="eastAsia" w:hAnsi="仿宋_GB2312" w:eastAsia="仿宋_GB2312" w:cs="仿宋_GB2312"/>
          <w:kern w:val="0"/>
          <w:sz w:val="32"/>
          <w:szCs w:val="32"/>
          <w:highlight w:val="none"/>
          <w:lang w:bidi="zh-TW"/>
        </w:rPr>
        <w:t>目前，全市累计利用省级资金支持223个村发展农业特色产业，市级资金支持80个村发展农业特色产业。其中，有22个镇被认定为省级专业镇，91个村被认定为省级专业村。</w:t>
      </w:r>
    </w:p>
    <w:p>
      <w:pPr>
        <w:spacing w:line="600" w:lineRule="exact"/>
        <w:ind w:firstLine="600" w:firstLineChars="0"/>
        <w:rPr>
          <w:rFonts w:hint="eastAsia" w:hAnsi="仿宋_GB2312" w:cs="仿宋_GB2312"/>
          <w:highlight w:val="none"/>
          <w:lang w:bidi="zh-TW"/>
        </w:rPr>
      </w:pPr>
      <w:r>
        <w:rPr>
          <w:rFonts w:hint="eastAsia" w:hAnsi="仿宋_GB2312" w:eastAsia="仿宋_GB2312" w:cs="仿宋_GB2312"/>
          <w:b w:val="0"/>
          <w:bCs w:val="0"/>
          <w:sz w:val="32"/>
          <w:szCs w:val="32"/>
          <w:highlight w:val="none"/>
          <w:lang w:bidi="zh-TW"/>
        </w:rPr>
        <w:t>农业基础设施持续改善。</w:t>
      </w:r>
      <w:r>
        <w:rPr>
          <w:rFonts w:hint="eastAsia" w:hAnsi="仿宋_GB2312" w:eastAsia="仿宋_GB2312" w:cs="仿宋_GB2312"/>
          <w:sz w:val="32"/>
          <w:szCs w:val="32"/>
          <w:highlight w:val="none"/>
          <w:lang w:bidi="zh-TW"/>
        </w:rPr>
        <w:t>五年来，</w:t>
      </w:r>
      <w:r>
        <w:rPr>
          <w:rFonts w:hint="eastAsia" w:hAnsi="仿宋_GB2312" w:eastAsia="仿宋_GB2312" w:cs="仿宋_GB2312"/>
          <w:kern w:val="0"/>
          <w:sz w:val="32"/>
          <w:szCs w:val="32"/>
          <w:highlight w:val="none"/>
          <w:lang w:bidi="zh-TW"/>
        </w:rPr>
        <w:t>投入高标准农田建设资金13.89亿元，建成高标准农田面积达276.25万亩。2020年末，全市农作物耕种收综合机械化水平53.22%，比2015年提高6.4个百分点；水稻耕种收综合机械化水平达到73.52%，比2015年提高9.7个百分点。设施农业面积达3万亩以上，农业抵御风险能力显著增强。农业机械总动力达到213.59万千瓦，比2015年增长14.94%。</w:t>
      </w:r>
    </w:p>
    <w:p>
      <w:pPr>
        <w:spacing w:line="600" w:lineRule="exact"/>
        <w:ind w:firstLine="600" w:firstLineChars="0"/>
        <w:rPr>
          <w:rFonts w:hint="eastAsia"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农业科技创新与推广成效显著。</w:t>
      </w:r>
      <w:r>
        <w:rPr>
          <w:rFonts w:hint="eastAsia" w:hAnsi="仿宋_GB2312" w:eastAsia="仿宋_GB2312" w:cs="仿宋_GB2312"/>
          <w:sz w:val="32"/>
          <w:szCs w:val="32"/>
          <w:highlight w:val="none"/>
          <w:lang w:bidi="zh-TW"/>
        </w:rPr>
        <w:t>积极与省农科院、华南农业大学开展院地合作，启动岭南现代农业科学与技术广东省实验室茂名分中心建设，不断提升科技创新能力。积极引进、推广</w:t>
      </w:r>
      <w:r>
        <w:rPr>
          <w:rFonts w:hint="eastAsia" w:ascii="仿宋_GB2312" w:hAnsi="仿宋_GB2312" w:eastAsia="仿宋_GB2312" w:cs="仿宋_GB2312"/>
          <w:sz w:val="32"/>
          <w:szCs w:val="32"/>
          <w:highlight w:val="none"/>
          <w:lang w:bidi="zh-TW"/>
        </w:rPr>
        <w:t>农业新品种、新技术，全市主要农作物良种覆盖率达95%以上。“十三五”期间，全市累计引</w:t>
      </w:r>
      <w:r>
        <w:rPr>
          <w:rFonts w:hint="eastAsia" w:hAnsi="仿宋_GB2312" w:eastAsia="仿宋_GB2312" w:cs="仿宋_GB2312"/>
          <w:sz w:val="32"/>
          <w:szCs w:val="32"/>
          <w:highlight w:val="none"/>
          <w:lang w:bidi="zh-TW"/>
        </w:rPr>
        <w:t>进农业新技术209项，推广农业新技术191项；年均遴选培育农技骨干或农技专家52人、农业科技示范主体1869个，年均共建农业科技示范基地23个。其中，2020年全市遴选培育农技骨干71人、农业科技示范主体2200个，共建农业科技示范基地24个，示范带动2.08万户农户种植主导品种和应用主推技术。</w:t>
      </w:r>
    </w:p>
    <w:p>
      <w:pPr>
        <w:spacing w:line="600" w:lineRule="exact"/>
        <w:ind w:firstLine="600"/>
        <w:rPr>
          <w:rFonts w:hint="eastAsia" w:hAnsi="仿宋_GB2312" w:eastAsia="仿宋_GB2312" w:cs="仿宋_GB2312"/>
          <w:bCs w:val="0"/>
          <w:spacing w:val="6"/>
          <w:sz w:val="32"/>
          <w:szCs w:val="32"/>
          <w:highlight w:val="none"/>
          <w:lang w:bidi="zh-TW"/>
        </w:rPr>
      </w:pPr>
      <w:r>
        <w:rPr>
          <w:rFonts w:hint="eastAsia" w:hAnsi="仿宋_GB2312" w:eastAsia="仿宋_GB2312" w:cs="仿宋_GB2312"/>
          <w:b w:val="0"/>
          <w:bCs w:val="0"/>
          <w:spacing w:val="6"/>
          <w:sz w:val="32"/>
          <w:szCs w:val="32"/>
          <w:highlight w:val="none"/>
          <w:lang w:bidi="zh-TW"/>
        </w:rPr>
        <w:t>绿色生态农业蓬勃发展。</w:t>
      </w:r>
      <w:r>
        <w:rPr>
          <w:rFonts w:hint="eastAsia" w:hAnsi="仿宋_GB2312" w:eastAsia="仿宋_GB2312" w:cs="仿宋_GB2312"/>
          <w:spacing w:val="6"/>
          <w:sz w:val="32"/>
          <w:szCs w:val="32"/>
          <w:highlight w:val="none"/>
          <w:lang w:bidi="zh-TW"/>
        </w:rPr>
        <w:t>实施世行贷款农业面源污染治理项目，设立水稻、玉米、蔬菜及水果等作物病虫统防统治和绿色防控示范区，2020年农作物病虫害绿色防控面积337.41万亩，主要农作物病虫害绿色防控覆盖率36.72%，统防统治覆盖率达41.24%。推进化肥农药均实现负增长，测土配方施肥技术覆盖率92.25%，农药、化肥用量比2015年分别减少17.64%、5.48%，世界银行贷款面源污染治理项目区农药包装废弃物回收率90%以上。推进畜禽养殖废弃物资源化利用，全市畜禽粪污综合利用率92.26%，超额完成省任务指标，规模养殖场粪污处理设施装备配套率97.99%。全面加强水生生物资源养护工作，2020年放流各种鱼虾苗4110多万尾，维护了水域生物多样性。建立市、县、镇三级农产品</w:t>
      </w:r>
      <w:r>
        <w:rPr>
          <w:rFonts w:hint="eastAsia" w:hAnsi="仿宋_GB2312" w:eastAsia="仿宋_GB2312" w:cs="仿宋_GB2312"/>
          <w:bCs w:val="0"/>
          <w:spacing w:val="6"/>
          <w:sz w:val="32"/>
          <w:szCs w:val="32"/>
          <w:highlight w:val="none"/>
          <w:lang w:bidi="zh-TW"/>
        </w:rPr>
        <w:t>质量安全监管机构。设立市、县两级农业行政执法机构，执法力量和执法配备得到加强。茂南区、电白区、信宜市、高州市和化州市检测站已通过了省级资质认定和机构考核双认证。农产品质量安全零投诉，无重大农产品质量安全事故。</w:t>
      </w:r>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品牌效应逐步显现。</w:t>
      </w:r>
      <w:r>
        <w:rPr>
          <w:rFonts w:hint="eastAsia" w:hAnsi="仿宋_GB2312" w:eastAsia="仿宋_GB2312" w:cs="仿宋_GB2312"/>
          <w:bCs w:val="0"/>
          <w:sz w:val="32"/>
          <w:szCs w:val="32"/>
          <w:highlight w:val="none"/>
          <w:lang w:bidi="zh-TW"/>
        </w:rPr>
        <w:t>全市共成功创建了17家国家级畜禽标准示范场、47家省级重点生猪养殖场、32家省级水产健康养殖示范场，有效带动了畜禽和水产品标准化生产。</w:t>
      </w:r>
      <w:r>
        <w:rPr>
          <w:rFonts w:hint="eastAsia" w:hAnsi="仿宋_GB2312" w:eastAsia="仿宋_GB2312" w:cs="仿宋_GB2312"/>
          <w:sz w:val="32"/>
          <w:szCs w:val="32"/>
          <w:highlight w:val="none"/>
          <w:lang w:bidi="zh-TW"/>
        </w:rPr>
        <w:t>扎实推进“两品一标”认证，全市有效期内的绿色食品111个、有机农产品14个</w:t>
      </w:r>
      <w:bookmarkStart w:id="105" w:name="OLE_LINK3"/>
      <w:r>
        <w:rPr>
          <w:rFonts w:hint="eastAsia" w:hAnsi="仿宋_GB2312" w:eastAsia="仿宋_GB2312" w:cs="仿宋_GB2312"/>
          <w:sz w:val="32"/>
          <w:szCs w:val="32"/>
          <w:highlight w:val="none"/>
          <w:lang w:bidi="zh-TW"/>
        </w:rPr>
        <w:t>、地理标志产品9个</w:t>
      </w:r>
      <w:bookmarkEnd w:id="105"/>
      <w:r>
        <w:rPr>
          <w:rFonts w:hint="eastAsia" w:hAnsi="仿宋_GB2312" w:eastAsia="仿宋_GB2312" w:cs="仿宋_GB2312"/>
          <w:sz w:val="32"/>
          <w:szCs w:val="32"/>
          <w:highlight w:val="none"/>
          <w:lang w:bidi="zh-TW"/>
        </w:rPr>
        <w:t>。擦亮茂名特色农产品招牌，</w:t>
      </w:r>
      <w:r>
        <w:rPr>
          <w:rFonts w:hint="eastAsia" w:ascii="仿宋_GB2312" w:hAnsi="仿宋_GB2312" w:eastAsia="仿宋_GB2312" w:cs="仿宋_GB2312"/>
          <w:sz w:val="32"/>
          <w:szCs w:val="32"/>
          <w:highlight w:val="none"/>
          <w:lang w:bidi="zh-TW"/>
        </w:rPr>
        <w:t>“茂名罗非鱼”“化州橘红”为国家级农产</w:t>
      </w:r>
      <w:r>
        <w:rPr>
          <w:rFonts w:hint="eastAsia" w:hAnsi="仿宋_GB2312" w:eastAsia="仿宋_GB2312" w:cs="仿宋_GB2312"/>
          <w:sz w:val="32"/>
          <w:szCs w:val="32"/>
          <w:highlight w:val="none"/>
          <w:lang w:bidi="zh-TW"/>
        </w:rPr>
        <w:t>品区域公用品牌，</w:t>
      </w:r>
      <w:r>
        <w:rPr>
          <w:rFonts w:hint="eastAsia" w:ascii="仿宋_GB2312" w:hAnsi="仿宋_GB2312" w:eastAsia="仿宋_GB2312" w:cs="仿宋_GB2312"/>
          <w:sz w:val="32"/>
          <w:szCs w:val="32"/>
          <w:highlight w:val="none"/>
          <w:lang w:bidi="zh-TW"/>
        </w:rPr>
        <w:t>全市入选“粤字号”农业品</w:t>
      </w:r>
      <w:r>
        <w:rPr>
          <w:rFonts w:hint="eastAsia" w:hAnsi="仿宋_GB2312" w:eastAsia="仿宋_GB2312" w:cs="仿宋_GB2312"/>
          <w:sz w:val="32"/>
          <w:szCs w:val="32"/>
          <w:highlight w:val="none"/>
          <w:lang w:bidi="zh-TW"/>
        </w:rPr>
        <w:t>牌目录的产品123个，拥有广东省第三</w:t>
      </w:r>
      <w:r>
        <w:rPr>
          <w:rFonts w:hint="eastAsia" w:ascii="仿宋_GB2312" w:hAnsi="仿宋_GB2312" w:eastAsia="仿宋_GB2312" w:cs="仿宋_GB2312"/>
          <w:sz w:val="32"/>
          <w:szCs w:val="32"/>
          <w:highlight w:val="none"/>
          <w:lang w:bidi="zh-TW"/>
        </w:rPr>
        <w:t>届“十大名牌”系列</w:t>
      </w:r>
      <w:r>
        <w:rPr>
          <w:rFonts w:hint="eastAsia" w:hAnsi="仿宋_GB2312" w:eastAsia="仿宋_GB2312" w:cs="仿宋_GB2312"/>
          <w:sz w:val="32"/>
          <w:szCs w:val="32"/>
          <w:highlight w:val="none"/>
          <w:lang w:bidi="zh-TW"/>
        </w:rPr>
        <w:t>农产品21个，广东省第三届名特优新农产品区域公用品牌34个、企业专用品牌85个、区域公用品牌核心企业15个，均居全省前列。</w:t>
      </w:r>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新型农业经营主体不断壮大。</w:t>
      </w:r>
      <w:r>
        <w:rPr>
          <w:rFonts w:hint="eastAsia" w:hAnsi="仿宋_GB2312" w:eastAsia="仿宋_GB2312" w:cs="仿宋_GB2312"/>
          <w:sz w:val="32"/>
          <w:szCs w:val="32"/>
          <w:highlight w:val="none"/>
          <w:lang w:bidi="zh-TW"/>
        </w:rPr>
        <w:t>2020年，有市级以上重点农业龙头企业168家</w:t>
      </w:r>
      <w:r>
        <w:rPr>
          <w:rStyle w:val="16"/>
          <w:rFonts w:hint="eastAsia" w:hAnsi="仿宋_GB2312" w:eastAsia="仿宋_GB2312" w:cs="仿宋_GB2312"/>
          <w:sz w:val="32"/>
          <w:szCs w:val="32"/>
          <w:highlight w:val="none"/>
          <w:lang w:bidi="zh-TW"/>
        </w:rPr>
        <w:footnoteReference w:id="1"/>
      </w:r>
      <w:r>
        <w:rPr>
          <w:rFonts w:hint="eastAsia" w:hAnsi="仿宋_GB2312" w:eastAsia="仿宋_GB2312" w:cs="仿宋_GB2312"/>
          <w:sz w:val="32"/>
          <w:szCs w:val="32"/>
          <w:highlight w:val="none"/>
          <w:lang w:bidi="zh-TW"/>
        </w:rPr>
        <w:t>，其中国家级1家、省级95家（居全省第三），市级以上重点农业龙头企业较2015年增加71家。经工商登记的农民合作社达5640家</w:t>
      </w:r>
      <w:r>
        <w:rPr>
          <w:rStyle w:val="16"/>
          <w:rFonts w:hint="eastAsia" w:hAnsi="仿宋_GB2312" w:eastAsia="仿宋_GB2312" w:cs="仿宋_GB2312"/>
          <w:sz w:val="32"/>
          <w:szCs w:val="32"/>
          <w:highlight w:val="none"/>
          <w:lang w:bidi="zh-TW"/>
        </w:rPr>
        <w:footnoteReference w:id="2"/>
      </w:r>
      <w:r>
        <w:rPr>
          <w:rFonts w:hint="eastAsia" w:hAnsi="仿宋_GB2312" w:eastAsia="仿宋_GB2312" w:cs="仿宋_GB2312"/>
          <w:sz w:val="32"/>
          <w:szCs w:val="32"/>
          <w:highlight w:val="none"/>
          <w:lang w:bidi="zh-TW"/>
        </w:rPr>
        <w:t>，居全省第二，其中，国家级示范社37家、省级示范社134家，有合作社联合社22家。2019年，高州市成为全国首批农民合作社质量提升整县推进试点，并取得实效。纳入农业系统家庭农场名录管理的家庭农场18828家</w:t>
      </w:r>
      <w:r>
        <w:rPr>
          <w:rStyle w:val="16"/>
          <w:rFonts w:hint="eastAsia" w:hAnsi="仿宋_GB2312" w:eastAsia="仿宋_GB2312" w:cs="仿宋_GB2312"/>
          <w:sz w:val="32"/>
          <w:szCs w:val="32"/>
          <w:highlight w:val="none"/>
          <w:lang w:bidi="zh-TW"/>
        </w:rPr>
        <w:footnoteReference w:id="3"/>
      </w:r>
      <w:r>
        <w:rPr>
          <w:rFonts w:hint="eastAsia" w:hAnsi="仿宋_GB2312" w:eastAsia="仿宋_GB2312" w:cs="仿宋_GB2312"/>
          <w:sz w:val="32"/>
          <w:szCs w:val="32"/>
          <w:highlight w:val="none"/>
          <w:lang w:bidi="zh-TW"/>
        </w:rPr>
        <w:t>。以新型农业经营主体主导、以适度规模经营为主的农业生产经营格局初步形成。</w:t>
      </w:r>
    </w:p>
    <w:p>
      <w:pPr>
        <w:spacing w:line="600" w:lineRule="exact"/>
        <w:ind w:firstLine="600"/>
        <w:rPr>
          <w:rFonts w:hint="eastAsia" w:hAnsi="仿宋_GB2312" w:cs="仿宋_GB2312"/>
          <w:highlight w:val="none"/>
          <w:lang w:bidi="zh-TW"/>
        </w:rPr>
      </w:pPr>
      <w:r>
        <w:rPr>
          <w:rFonts w:hint="eastAsia" w:hAnsi="仿宋_GB2312" w:eastAsia="仿宋_GB2312" w:cs="仿宋_GB2312"/>
          <w:b w:val="0"/>
          <w:bCs w:val="0"/>
          <w:sz w:val="32"/>
          <w:szCs w:val="32"/>
          <w:highlight w:val="none"/>
          <w:lang w:bidi="zh-TW"/>
        </w:rPr>
        <w:t>产业融合实现新发展。</w:t>
      </w:r>
      <w:r>
        <w:rPr>
          <w:rFonts w:hint="eastAsia" w:hAnsi="仿宋_GB2312" w:eastAsia="仿宋_GB2312" w:cs="仿宋_GB2312"/>
          <w:sz w:val="32"/>
          <w:szCs w:val="32"/>
          <w:highlight w:val="none"/>
          <w:lang w:bidi="zh-TW"/>
        </w:rPr>
        <w:t>大力发展休闲农业和乡村旅游，开发农业多种功能，延长产业链、提升价值链、完善利益链，休闲农业与乡村旅游年接待人次1041.25万人。创建国家级“一村一品”示范镇8个、省级休闲农业与乡村旅游示范镇7个、省级休闲农业与乡村旅游示范点25个、省级农业公园4个。信宜市镇隆镇八坊村为中国美丽休闲乡村。信宜市镇隆镇八坊村和高州市根子镇柏桥村入选全国乡村旅游重点村，高州市根子镇柏桥村等10条村入选广东省文化和旅游特色村名录。全市开设农产品电商平台1500多家，已建成6家省级电商体验馆，适合网上销售的大型高端农产品生产基地达150个。实施</w:t>
      </w:r>
      <w:r>
        <w:rPr>
          <w:rFonts w:hint="eastAsia" w:ascii="仿宋_GB2312" w:hAnsi="仿宋_GB2312" w:eastAsia="仿宋_GB2312" w:cs="仿宋_GB2312"/>
          <w:sz w:val="32"/>
          <w:szCs w:val="32"/>
          <w:highlight w:val="none"/>
          <w:lang w:bidi="zh-TW"/>
        </w:rPr>
        <w:t>“</w:t>
      </w:r>
      <w:r>
        <w:rPr>
          <w:rFonts w:hint="eastAsia" w:hAnsi="仿宋_GB2312" w:eastAsia="仿宋_GB2312" w:cs="仿宋_GB2312"/>
          <w:sz w:val="32"/>
          <w:szCs w:val="32"/>
          <w:highlight w:val="none"/>
          <w:lang w:bidi="zh-TW"/>
        </w:rPr>
        <w:t>12221</w:t>
      </w:r>
      <w:r>
        <w:rPr>
          <w:rFonts w:hint="eastAsia" w:ascii="仿宋_GB2312" w:hAnsi="仿宋_GB2312" w:eastAsia="仿宋_GB2312" w:cs="仿宋_GB2312"/>
          <w:sz w:val="32"/>
          <w:szCs w:val="32"/>
          <w:highlight w:val="none"/>
          <w:lang w:bidi="zh-TW"/>
        </w:rPr>
        <w:t>”行</w:t>
      </w:r>
      <w:r>
        <w:rPr>
          <w:rFonts w:hint="eastAsia" w:hAnsi="仿宋_GB2312" w:eastAsia="仿宋_GB2312" w:cs="仿宋_GB2312"/>
          <w:sz w:val="32"/>
          <w:szCs w:val="32"/>
          <w:highlight w:val="none"/>
          <w:lang w:bidi="zh-TW"/>
        </w:rPr>
        <w:t>动计划，着力推动特色农产品市场体系建设。</w:t>
      </w:r>
    </w:p>
    <w:p>
      <w:pPr>
        <w:spacing w:line="600" w:lineRule="exact"/>
        <w:ind w:firstLine="600"/>
        <w:rPr>
          <w:rFonts w:hint="eastAsia" w:ascii="仿宋_GB2312"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新型助农服务示范体系逐步建立。</w:t>
      </w:r>
      <w:r>
        <w:rPr>
          <w:rFonts w:hint="eastAsia" w:hAnsi="仿宋_GB2312" w:eastAsia="仿宋_GB2312" w:cs="仿宋_GB2312"/>
          <w:sz w:val="32"/>
          <w:szCs w:val="32"/>
          <w:highlight w:val="none"/>
          <w:lang w:bidi="zh-TW"/>
        </w:rPr>
        <w:t>全市加快建设县域助农服务平台和助农服务中心。同时，加快培育农业社会化服务组织，推进农业生产托管服务。202</w:t>
      </w:r>
      <w:r>
        <w:rPr>
          <w:rFonts w:hint="eastAsia" w:hAnsi="仿宋_GB2312" w:eastAsia="仿宋_GB2312" w:cs="仿宋_GB2312"/>
          <w:color w:val="auto"/>
          <w:sz w:val="32"/>
          <w:szCs w:val="32"/>
          <w:highlight w:val="none"/>
          <w:lang w:bidi="zh-TW"/>
        </w:rPr>
        <w:t>0</w:t>
      </w:r>
      <w:r>
        <w:rPr>
          <w:rFonts w:hint="eastAsia" w:hAnsi="仿宋_GB2312" w:eastAsia="仿宋_GB2312" w:cs="仿宋_GB2312"/>
          <w:sz w:val="32"/>
          <w:szCs w:val="32"/>
          <w:highlight w:val="none"/>
          <w:lang w:bidi="zh-TW"/>
        </w:rPr>
        <w:t>年，全市农业社会化服务组织</w:t>
      </w:r>
      <w:r>
        <w:rPr>
          <w:rFonts w:hint="eastAsia" w:hAnsi="仿宋_GB2312" w:eastAsia="仿宋_GB2312" w:cs="仿宋_GB2312"/>
          <w:color w:val="auto"/>
          <w:sz w:val="32"/>
          <w:szCs w:val="32"/>
          <w:highlight w:val="none"/>
          <w:lang w:bidi="zh-TW"/>
        </w:rPr>
        <w:t>达</w:t>
      </w:r>
      <w:r>
        <w:rPr>
          <w:rFonts w:hint="eastAsia" w:hAnsi="仿宋_GB2312" w:eastAsia="仿宋_GB2312" w:cs="仿宋_GB2312"/>
          <w:sz w:val="32"/>
          <w:szCs w:val="32"/>
          <w:highlight w:val="none"/>
          <w:lang w:bidi="zh-TW"/>
        </w:rPr>
        <w:t>3000多个，</w:t>
      </w:r>
      <w:r>
        <w:rPr>
          <w:rFonts w:hint="eastAsia" w:hAnsi="仿宋_GB2312" w:eastAsia="仿宋_GB2312" w:cs="仿宋_GB2312"/>
          <w:color w:val="auto"/>
          <w:sz w:val="32"/>
          <w:szCs w:val="32"/>
          <w:highlight w:val="none"/>
          <w:lang w:bidi="zh-TW"/>
        </w:rPr>
        <w:t>农业服务业产值27.92亿元。其中农机合作社36个，仅合作社为农业社会化服务总面积达到25万亩。</w:t>
      </w:r>
      <w:r>
        <w:rPr>
          <w:rFonts w:hint="eastAsia" w:hAnsi="仿宋_GB2312" w:eastAsia="仿宋_GB2312" w:cs="仿宋_GB2312"/>
          <w:sz w:val="32"/>
          <w:szCs w:val="32"/>
          <w:highlight w:val="none"/>
          <w:lang w:bidi="zh-TW"/>
        </w:rPr>
        <w:t>信宜市成为全省第一批实施农业生产社会化服务项目任务单位。</w:t>
      </w:r>
    </w:p>
    <w:p>
      <w:pPr>
        <w:pStyle w:val="6"/>
        <w:spacing w:before="0" w:beforeLines="0" w:after="0" w:afterLines="0" w:line="600" w:lineRule="exact"/>
        <w:ind w:firstLine="640" w:firstLineChars="200"/>
        <w:rPr>
          <w:rFonts w:hint="eastAsia" w:ascii="黑体" w:hAnsi="黑体" w:eastAsia="黑体" w:cs="黑体"/>
          <w:b w:val="0"/>
          <w:bCs w:val="0"/>
          <w:szCs w:val="22"/>
          <w:highlight w:val="none"/>
        </w:rPr>
      </w:pPr>
      <w:bookmarkStart w:id="106" w:name="_Toc18145"/>
      <w:bookmarkStart w:id="107" w:name="_Toc5459"/>
      <w:bookmarkStart w:id="108" w:name="_Toc18938"/>
      <w:bookmarkStart w:id="109" w:name="_Toc21800"/>
      <w:bookmarkStart w:id="110" w:name="_Toc32021"/>
      <w:bookmarkStart w:id="111" w:name="_Toc15307"/>
      <w:bookmarkStart w:id="112" w:name="_Toc17470"/>
      <w:bookmarkStart w:id="113" w:name="_Toc4067"/>
      <w:bookmarkStart w:id="114" w:name="_Toc1450"/>
      <w:bookmarkStart w:id="115" w:name="_Toc343"/>
      <w:bookmarkStart w:id="116" w:name="_Toc29779"/>
      <w:bookmarkStart w:id="117" w:name="_Toc3444"/>
      <w:bookmarkStart w:id="118" w:name="_Toc6349"/>
      <w:bookmarkStart w:id="119" w:name="_Toc9220"/>
      <w:bookmarkStart w:id="120" w:name="_Toc16535"/>
      <w:r>
        <w:rPr>
          <w:rFonts w:hint="eastAsia" w:ascii="黑体" w:hAnsi="黑体" w:eastAsia="黑体" w:cs="黑体"/>
          <w:b w:val="0"/>
          <w:bCs w:val="0"/>
          <w:szCs w:val="22"/>
          <w:highlight w:val="none"/>
        </w:rPr>
        <w:t>五、农村风貌发生新变化</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spacing w:line="600" w:lineRule="exact"/>
        <w:ind w:firstLine="600"/>
        <w:rPr>
          <w:rFonts w:hint="eastAsia"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“十三五”期间，茂名市牢固树立“绿水青山就是金山银山”的发展理念，改善农村人</w:t>
      </w:r>
      <w:r>
        <w:rPr>
          <w:rFonts w:hint="eastAsia" w:hAnsi="仿宋_GB2312" w:eastAsia="仿宋_GB2312" w:cs="仿宋_GB2312"/>
          <w:sz w:val="32"/>
          <w:szCs w:val="32"/>
          <w:highlight w:val="none"/>
          <w:lang w:bidi="zh-TW"/>
        </w:rPr>
        <w:t>居环境、建设美丽宜居村庄，乡村风貌不断提升。同时，完善乡村治理体系，培育文明乡风，农民群众的获得感、幸福感明显增强。</w:t>
      </w:r>
    </w:p>
    <w:p>
      <w:pPr>
        <w:spacing w:line="600" w:lineRule="exact"/>
        <w:ind w:firstLine="600"/>
        <w:rPr>
          <w:rFonts w:hint="eastAsia" w:hAnsi="仿宋_GB2312" w:eastAsia="仿宋_GB2312" w:cs="仿宋_GB2312"/>
          <w:spacing w:val="6"/>
          <w:sz w:val="32"/>
          <w:szCs w:val="32"/>
          <w:highlight w:val="none"/>
          <w:lang w:bidi="zh-TW"/>
        </w:rPr>
      </w:pPr>
      <w:r>
        <w:rPr>
          <w:rFonts w:hint="eastAsia" w:hAnsi="仿宋_GB2312" w:eastAsia="仿宋_GB2312" w:cs="仿宋_GB2312"/>
          <w:b w:val="0"/>
          <w:bCs w:val="0"/>
          <w:spacing w:val="6"/>
          <w:sz w:val="32"/>
          <w:szCs w:val="32"/>
          <w:highlight w:val="none"/>
          <w:lang w:bidi="zh-TW"/>
        </w:rPr>
        <w:t>美丽乡村逐步升级。</w:t>
      </w:r>
      <w:r>
        <w:rPr>
          <w:rFonts w:hint="eastAsia" w:hAnsi="仿宋_GB2312" w:eastAsia="仿宋_GB2312" w:cs="仿宋_GB2312"/>
          <w:spacing w:val="6"/>
          <w:sz w:val="32"/>
          <w:szCs w:val="32"/>
          <w:highlight w:val="none"/>
          <w:lang w:bidi="zh-TW"/>
        </w:rPr>
        <w:t>深入贯彻落</w:t>
      </w:r>
      <w:r>
        <w:rPr>
          <w:rFonts w:hint="eastAsia" w:ascii="仿宋_GB2312" w:hAnsi="仿宋_GB2312" w:eastAsia="仿宋_GB2312" w:cs="仿宋_GB2312"/>
          <w:spacing w:val="6"/>
          <w:sz w:val="32"/>
          <w:szCs w:val="32"/>
          <w:highlight w:val="none"/>
          <w:lang w:bidi="zh-TW"/>
        </w:rPr>
        <w:t>实李希书记关于“打</w:t>
      </w:r>
      <w:r>
        <w:rPr>
          <w:rFonts w:hint="eastAsia" w:hAnsi="仿宋_GB2312" w:eastAsia="仿宋_GB2312" w:cs="仿宋_GB2312"/>
          <w:spacing w:val="6"/>
          <w:sz w:val="32"/>
          <w:szCs w:val="32"/>
          <w:highlight w:val="none"/>
          <w:lang w:bidi="zh-TW"/>
        </w:rPr>
        <w:t>造乡</w:t>
      </w:r>
      <w:r>
        <w:rPr>
          <w:rFonts w:hint="eastAsia" w:ascii="仿宋_GB2312" w:hAnsi="仿宋_GB2312" w:eastAsia="仿宋_GB2312" w:cs="仿宋_GB2312"/>
          <w:spacing w:val="6"/>
          <w:sz w:val="32"/>
          <w:szCs w:val="32"/>
          <w:highlight w:val="none"/>
          <w:lang w:bidi="zh-TW"/>
        </w:rPr>
        <w:t>村振兴‘茂名样板’”的指</w:t>
      </w:r>
      <w:r>
        <w:rPr>
          <w:rFonts w:hint="eastAsia" w:hAnsi="仿宋_GB2312" w:eastAsia="仿宋_GB2312" w:cs="仿宋_GB2312"/>
          <w:spacing w:val="6"/>
          <w:sz w:val="32"/>
          <w:szCs w:val="32"/>
          <w:highlight w:val="none"/>
          <w:lang w:bidi="zh-TW"/>
        </w:rPr>
        <w:t>示精神，按照省委省政府和市委市政府的决策部署，结合农村人居环境整治，大力推进农房管控和风貌提升，美丽宜居村达标率达到64.12%。全市已建成61</w:t>
      </w:r>
      <w:r>
        <w:rPr>
          <w:rFonts w:hint="eastAsia" w:ascii="仿宋_GB2312" w:hAnsi="仿宋_GB2312" w:eastAsia="仿宋_GB2312" w:cs="仿宋_GB2312"/>
          <w:spacing w:val="6"/>
          <w:sz w:val="32"/>
          <w:szCs w:val="32"/>
          <w:highlight w:val="none"/>
          <w:lang w:bidi="zh-TW"/>
        </w:rPr>
        <w:t>个“农房管控风貌提升”示范亮点村，建设“四小园”</w:t>
      </w:r>
      <w:r>
        <w:rPr>
          <w:rFonts w:hint="eastAsia" w:hAnsi="仿宋_GB2312" w:eastAsia="仿宋_GB2312" w:cs="仿宋_GB2312"/>
          <w:spacing w:val="6"/>
          <w:sz w:val="32"/>
          <w:szCs w:val="32"/>
          <w:highlight w:val="none"/>
          <w:lang w:bidi="zh-TW"/>
        </w:rPr>
        <w:t>7万多个。信宜市43公里</w:t>
      </w:r>
      <w:r>
        <w:rPr>
          <w:rFonts w:hint="eastAsia" w:ascii="仿宋_GB2312" w:hAnsi="仿宋_GB2312" w:eastAsia="仿宋_GB2312" w:cs="仿宋_GB2312"/>
          <w:spacing w:val="6"/>
          <w:sz w:val="32"/>
          <w:szCs w:val="32"/>
          <w:highlight w:val="none"/>
          <w:lang w:bidi="zh-TW"/>
        </w:rPr>
        <w:t>“锦江画廊”碧道、</w:t>
      </w:r>
      <w:r>
        <w:rPr>
          <w:rFonts w:hint="eastAsia" w:hAnsi="仿宋_GB2312" w:eastAsia="仿宋_GB2312" w:cs="仿宋_GB2312"/>
          <w:spacing w:val="6"/>
          <w:sz w:val="32"/>
          <w:szCs w:val="32"/>
          <w:highlight w:val="none"/>
          <w:lang w:bidi="zh-TW"/>
        </w:rPr>
        <w:t>高州市大唐荔乡、化州市平垌橘乡、茂南</w:t>
      </w:r>
      <w:r>
        <w:rPr>
          <w:rFonts w:hint="eastAsia" w:ascii="仿宋_GB2312" w:hAnsi="仿宋_GB2312" w:eastAsia="仿宋_GB2312" w:cs="仿宋_GB2312"/>
          <w:spacing w:val="6"/>
          <w:sz w:val="32"/>
          <w:szCs w:val="32"/>
          <w:highlight w:val="none"/>
          <w:lang w:bidi="zh-TW"/>
        </w:rPr>
        <w:t>区“好心湖畔”田园</w:t>
      </w:r>
      <w:r>
        <w:rPr>
          <w:rFonts w:hint="eastAsia" w:hAnsi="仿宋_GB2312" w:eastAsia="仿宋_GB2312" w:cs="仿宋_GB2312"/>
          <w:spacing w:val="6"/>
          <w:sz w:val="32"/>
          <w:szCs w:val="32"/>
          <w:highlight w:val="none"/>
          <w:lang w:bidi="zh-TW"/>
        </w:rPr>
        <w:t>综合体等一批连线连片农房管控风貌带初步成型，已启动连接茂南、高州两地</w:t>
      </w:r>
      <w:r>
        <w:rPr>
          <w:rFonts w:hint="eastAsia" w:ascii="仿宋_GB2312" w:hAnsi="仿宋_GB2312" w:eastAsia="仿宋_GB2312" w:cs="仿宋_GB2312"/>
          <w:spacing w:val="6"/>
          <w:sz w:val="32"/>
          <w:szCs w:val="32"/>
          <w:highlight w:val="none"/>
          <w:lang w:bidi="zh-TW"/>
        </w:rPr>
        <w:t>的“精</w:t>
      </w:r>
      <w:r>
        <w:rPr>
          <w:rFonts w:hint="eastAsia" w:hAnsi="仿宋_GB2312" w:eastAsia="仿宋_GB2312" w:cs="仿宋_GB2312"/>
          <w:spacing w:val="6"/>
          <w:sz w:val="32"/>
          <w:szCs w:val="32"/>
          <w:highlight w:val="none"/>
          <w:lang w:bidi="zh-TW"/>
        </w:rPr>
        <w:t>彩100里</w:t>
      </w:r>
      <w:r>
        <w:rPr>
          <w:rFonts w:hint="eastAsia" w:ascii="仿宋_GB2312" w:hAnsi="仿宋_GB2312" w:eastAsia="仿宋_GB2312" w:cs="仿宋_GB2312"/>
          <w:spacing w:val="6"/>
          <w:sz w:val="32"/>
          <w:szCs w:val="32"/>
          <w:highlight w:val="none"/>
          <w:lang w:bidi="zh-TW"/>
        </w:rPr>
        <w:t>”乡</w:t>
      </w:r>
      <w:r>
        <w:rPr>
          <w:rFonts w:hint="eastAsia" w:hAnsi="仿宋_GB2312" w:eastAsia="仿宋_GB2312" w:cs="仿宋_GB2312"/>
          <w:spacing w:val="6"/>
          <w:sz w:val="32"/>
          <w:szCs w:val="32"/>
          <w:highlight w:val="none"/>
          <w:lang w:bidi="zh-TW"/>
        </w:rPr>
        <w:t>村振兴示范带建设。2020年高州元坝村在全省《乡村振兴大擂台》PK赛中勇夺桂冠。大力推动金融机构主动试点，引入银行信用贷支持农户开展农房管控风貌提升，全省首</w:t>
      </w:r>
      <w:r>
        <w:rPr>
          <w:rFonts w:hint="eastAsia" w:ascii="仿宋_GB2312" w:hAnsi="仿宋_GB2312" w:eastAsia="仿宋_GB2312" w:cs="仿宋_GB2312"/>
          <w:spacing w:val="6"/>
          <w:sz w:val="32"/>
          <w:szCs w:val="32"/>
          <w:highlight w:val="none"/>
          <w:lang w:bidi="zh-TW"/>
        </w:rPr>
        <w:t>笔“荔乡</w:t>
      </w:r>
      <w:r>
        <w:rPr>
          <w:rFonts w:hint="eastAsia" w:hAnsi="仿宋_GB2312" w:eastAsia="仿宋_GB2312" w:cs="仿宋_GB2312"/>
          <w:spacing w:val="6"/>
          <w:sz w:val="32"/>
          <w:szCs w:val="32"/>
          <w:highlight w:val="none"/>
          <w:lang w:bidi="zh-TW"/>
        </w:rPr>
        <w:t>风貌贷</w:t>
      </w:r>
      <w:r>
        <w:rPr>
          <w:rFonts w:hint="eastAsia" w:ascii="仿宋_GB2312" w:hAnsi="仿宋_GB2312" w:eastAsia="仿宋_GB2312" w:cs="仿宋_GB2312"/>
          <w:spacing w:val="6"/>
          <w:sz w:val="32"/>
          <w:szCs w:val="32"/>
          <w:highlight w:val="none"/>
          <w:lang w:bidi="zh-TW"/>
        </w:rPr>
        <w:t>”</w:t>
      </w:r>
      <w:r>
        <w:rPr>
          <w:rFonts w:hint="eastAsia" w:hAnsi="仿宋_GB2312" w:eastAsia="仿宋_GB2312" w:cs="仿宋_GB2312"/>
          <w:spacing w:val="6"/>
          <w:sz w:val="32"/>
          <w:szCs w:val="32"/>
          <w:highlight w:val="none"/>
          <w:lang w:bidi="zh-TW"/>
        </w:rPr>
        <w:t>16万元由建行茂名市分行向高州根子镇元坝村村民成功发放，各金融机构也积极参与到农房风貌管控提升贷款的支持行动中。</w:t>
      </w:r>
    </w:p>
    <w:p>
      <w:pPr>
        <w:spacing w:line="600" w:lineRule="exact"/>
        <w:ind w:firstLine="600"/>
        <w:rPr>
          <w:rFonts w:hint="eastAsia" w:hAnsi="仿宋_GB2312" w:eastAsia="仿宋_GB2312" w:cs="仿宋_GB2312"/>
          <w:spacing w:val="8"/>
          <w:sz w:val="32"/>
          <w:szCs w:val="32"/>
          <w:highlight w:val="none"/>
          <w:lang w:bidi="zh-TW"/>
        </w:rPr>
      </w:pPr>
      <w:r>
        <w:rPr>
          <w:rFonts w:hint="eastAsia" w:hAnsi="仿宋_GB2312" w:eastAsia="仿宋_GB2312" w:cs="仿宋_GB2312"/>
          <w:b w:val="0"/>
          <w:bCs w:val="0"/>
          <w:spacing w:val="8"/>
          <w:sz w:val="32"/>
          <w:szCs w:val="32"/>
          <w:highlight w:val="none"/>
          <w:lang w:bidi="zh-TW"/>
        </w:rPr>
        <w:t>乡村治理体系不断完善。</w:t>
      </w:r>
      <w:r>
        <w:rPr>
          <w:rFonts w:hint="eastAsia" w:hAnsi="仿宋_GB2312" w:eastAsia="仿宋_GB2312" w:cs="仿宋_GB2312"/>
          <w:spacing w:val="8"/>
          <w:sz w:val="32"/>
          <w:szCs w:val="32"/>
          <w:highlight w:val="none"/>
          <w:lang w:bidi="zh-TW"/>
        </w:rPr>
        <w:t>积极</w:t>
      </w:r>
      <w:r>
        <w:rPr>
          <w:rFonts w:hint="eastAsia" w:ascii="仿宋_GB2312" w:hAnsi="仿宋_GB2312" w:eastAsia="仿宋_GB2312" w:cs="仿宋_GB2312"/>
          <w:spacing w:val="8"/>
          <w:sz w:val="32"/>
          <w:szCs w:val="32"/>
          <w:highlight w:val="none"/>
          <w:lang w:bidi="zh-TW"/>
        </w:rPr>
        <w:t>实施“头雁”工程、南粤党员先锋工程、“村官大学生”工程等重大工程项目，</w:t>
      </w:r>
      <w:r>
        <w:rPr>
          <w:rFonts w:hint="eastAsia" w:hAnsi="仿宋_GB2312" w:eastAsia="仿宋_GB2312" w:cs="仿宋_GB2312"/>
          <w:spacing w:val="8"/>
          <w:sz w:val="32"/>
          <w:szCs w:val="32"/>
          <w:highlight w:val="none"/>
          <w:lang w:bidi="zh-TW"/>
        </w:rPr>
        <w:t>提升以党建引领的治理体系建设，完善农村公共事务管理服务，加强基层治理能力条件建设，初步构建了党组织领导的自治、法治、德治相结合的乡村治理体系。茂南区新坡镇车田村、电白区林头镇槟榔村、化州市合江镇大埇村入选全国乡村治理示范村。乡风文明不断焕发新气象，全市基本实现建成村（社区）综合性文化服务中心全覆盖。扎实开展新时代文明实践中心建设，试点地区高州市建成新时代文明实践中心（所、站）517个，利用新时代文明实践中心（所、站）开展各类志愿服务活动。</w:t>
      </w:r>
    </w:p>
    <w:p>
      <w:pPr>
        <w:pStyle w:val="6"/>
        <w:spacing w:before="0" w:beforeLines="0" w:after="0" w:afterLines="0" w:line="600" w:lineRule="exact"/>
        <w:ind w:firstLine="640" w:firstLineChars="200"/>
        <w:rPr>
          <w:rFonts w:hint="eastAsia" w:ascii="黑体" w:hAnsi="黑体" w:eastAsia="黑体" w:cs="黑体"/>
          <w:b w:val="0"/>
          <w:bCs w:val="0"/>
          <w:szCs w:val="22"/>
          <w:highlight w:val="none"/>
        </w:rPr>
      </w:pPr>
      <w:bookmarkStart w:id="121" w:name="_Toc16852"/>
      <w:bookmarkStart w:id="122" w:name="_Toc3798"/>
      <w:bookmarkStart w:id="123" w:name="_Toc23525"/>
      <w:bookmarkStart w:id="124" w:name="_Toc3296"/>
      <w:bookmarkStart w:id="125" w:name="_Toc15855"/>
      <w:bookmarkStart w:id="126" w:name="_Toc5403"/>
      <w:bookmarkStart w:id="127" w:name="_Toc23720"/>
      <w:bookmarkStart w:id="128" w:name="_Toc10394"/>
      <w:bookmarkStart w:id="129" w:name="_Toc3656"/>
      <w:bookmarkStart w:id="130" w:name="_Toc31715"/>
      <w:bookmarkStart w:id="131" w:name="_Toc13564"/>
      <w:bookmarkStart w:id="132" w:name="_Toc22470"/>
      <w:bookmarkStart w:id="133" w:name="_Toc6372"/>
      <w:bookmarkStart w:id="134" w:name="_Toc27905"/>
      <w:bookmarkStart w:id="135" w:name="_Toc11833"/>
      <w:r>
        <w:rPr>
          <w:rFonts w:hint="eastAsia" w:ascii="黑体" w:hAnsi="黑体" w:eastAsia="黑体" w:cs="黑体"/>
          <w:b w:val="0"/>
          <w:bCs w:val="0"/>
          <w:szCs w:val="22"/>
          <w:highlight w:val="none"/>
        </w:rPr>
        <w:t>六、农业农村各项改革试点工作进展顺利</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sz w:val="32"/>
          <w:szCs w:val="32"/>
          <w:highlight w:val="none"/>
          <w:lang w:bidi="zh-TW"/>
        </w:rPr>
        <w:t>茂名市坚持改革兴农，激发农村发展新活力，农村改革试点工作进展顺利。</w:t>
      </w:r>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农村土地制度改革稳健。</w:t>
      </w:r>
      <w:r>
        <w:rPr>
          <w:rFonts w:hint="eastAsia" w:hAnsi="仿宋_GB2312" w:eastAsia="仿宋_GB2312" w:cs="仿宋_GB2312"/>
          <w:sz w:val="32"/>
          <w:szCs w:val="32"/>
          <w:highlight w:val="none"/>
          <w:lang w:bidi="zh-TW"/>
        </w:rPr>
        <w:t>完成农村土地承包经营权确权登记颁证工作，巩固和完善了农村基本经营制度。在此基础上，出台《茂名市加快推进农村承包土地经营权流转实施方案》，加快农村承包地经营权流转。截至2020年，全市土地流转总面积122.44万亩。</w:t>
      </w:r>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农村集体产权制度改革全面推进。</w:t>
      </w:r>
      <w:r>
        <w:rPr>
          <w:rFonts w:hint="eastAsia" w:hAnsi="仿宋_GB2312" w:eastAsia="仿宋_GB2312" w:cs="仿宋_GB2312"/>
          <w:sz w:val="32"/>
          <w:szCs w:val="32"/>
          <w:highlight w:val="none"/>
          <w:lang w:bidi="zh-TW"/>
        </w:rPr>
        <w:t>全市110个镇（街）、33298个农村集体经济组织已100%完成清产核资工作，已基本完成赋码登记发证工作，已建成市、县、镇、村四级农</w:t>
      </w:r>
      <w:r>
        <w:rPr>
          <w:rFonts w:hint="eastAsia" w:ascii="仿宋_GB2312" w:hAnsi="仿宋_GB2312" w:eastAsia="仿宋_GB2312" w:cs="仿宋_GB2312"/>
          <w:sz w:val="32"/>
          <w:szCs w:val="32"/>
          <w:highlight w:val="none"/>
          <w:lang w:bidi="zh-TW"/>
        </w:rPr>
        <w:t>村集体“三资”管理交易</w:t>
      </w:r>
      <w:r>
        <w:rPr>
          <w:rFonts w:hint="eastAsia" w:hAnsi="仿宋_GB2312" w:eastAsia="仿宋_GB2312" w:cs="仿宋_GB2312"/>
          <w:sz w:val="32"/>
          <w:szCs w:val="32"/>
          <w:highlight w:val="none"/>
          <w:lang w:bidi="zh-TW"/>
        </w:rPr>
        <w:t>平台。积极推进农村集体产权制度改革试点示范，信宜市、高州市和茂南区完成农村集体产权制度改革试点县试点工作</w:t>
      </w:r>
      <w:r>
        <w:rPr>
          <w:rFonts w:hint="eastAsia" w:ascii="仿宋_GB2312" w:hAnsi="仿宋_GB2312" w:eastAsia="仿宋_GB2312" w:cs="仿宋_GB2312"/>
          <w:sz w:val="32"/>
          <w:szCs w:val="32"/>
          <w:highlight w:val="none"/>
          <w:lang w:bidi="zh-TW"/>
        </w:rPr>
        <w:t>。推进农村“三变”改革，高</w:t>
      </w:r>
      <w:r>
        <w:rPr>
          <w:rFonts w:hint="eastAsia" w:hAnsi="仿宋_GB2312" w:eastAsia="仿宋_GB2312" w:cs="仿宋_GB2312"/>
          <w:sz w:val="32"/>
          <w:szCs w:val="32"/>
          <w:highlight w:val="none"/>
          <w:lang w:bidi="zh-TW"/>
        </w:rPr>
        <w:t>州市建设示范点近40个，当地农民</w:t>
      </w:r>
      <w:r>
        <w:rPr>
          <w:rFonts w:hint="eastAsia" w:ascii="仿宋_GB2312" w:hAnsi="仿宋_GB2312" w:eastAsia="仿宋_GB2312" w:cs="仿宋_GB2312"/>
          <w:sz w:val="32"/>
          <w:szCs w:val="32"/>
          <w:highlight w:val="none"/>
          <w:lang w:bidi="zh-TW"/>
        </w:rPr>
        <w:t>形成“租金+工资+分红”的新</w:t>
      </w:r>
      <w:r>
        <w:rPr>
          <w:rFonts w:hint="eastAsia" w:hAnsi="仿宋_GB2312" w:eastAsia="仿宋_GB2312" w:cs="仿宋_GB2312"/>
          <w:sz w:val="32"/>
          <w:szCs w:val="32"/>
          <w:highlight w:val="none"/>
          <w:lang w:bidi="zh-TW"/>
        </w:rPr>
        <w:t>型收入结构。</w:t>
      </w:r>
    </w:p>
    <w:p>
      <w:pPr>
        <w:spacing w:line="600" w:lineRule="exact"/>
        <w:ind w:firstLine="600"/>
        <w:rPr>
          <w:rFonts w:hint="eastAsia" w:hAnsi="仿宋_GB2312" w:eastAsia="仿宋_GB2312" w:cs="仿宋_GB2312"/>
          <w:sz w:val="32"/>
          <w:szCs w:val="32"/>
          <w:highlight w:val="none"/>
          <w:lang w:bidi="zh-TW"/>
        </w:rPr>
      </w:pPr>
      <w:r>
        <w:rPr>
          <w:rFonts w:hint="eastAsia" w:hAnsi="仿宋_GB2312" w:eastAsia="仿宋_GB2312" w:cs="仿宋_GB2312"/>
          <w:b w:val="0"/>
          <w:bCs w:val="0"/>
          <w:sz w:val="32"/>
          <w:szCs w:val="32"/>
          <w:highlight w:val="none"/>
          <w:lang w:bidi="zh-TW"/>
        </w:rPr>
        <w:t>农村金融改革不断创新。</w:t>
      </w:r>
      <w:r>
        <w:rPr>
          <w:rFonts w:hint="eastAsia" w:hAnsi="仿宋_GB2312" w:eastAsia="仿宋_GB2312" w:cs="仿宋_GB2312"/>
          <w:sz w:val="32"/>
          <w:szCs w:val="32"/>
          <w:highlight w:val="none"/>
          <w:lang w:bidi="zh-TW"/>
        </w:rPr>
        <w:t>持续全面推进农村金融改革创新综合试验区建设，创新</w:t>
      </w:r>
      <w:r>
        <w:rPr>
          <w:rFonts w:hint="eastAsia" w:ascii="仿宋_GB2312" w:hAnsi="仿宋_GB2312" w:eastAsia="仿宋_GB2312" w:cs="仿宋_GB2312"/>
          <w:sz w:val="32"/>
          <w:szCs w:val="32"/>
          <w:highlight w:val="none"/>
          <w:lang w:bidi="zh-TW"/>
        </w:rPr>
        <w:t>金融产品“</w:t>
      </w:r>
      <w:r>
        <w:rPr>
          <w:rFonts w:hint="eastAsia" w:ascii="仿宋_GB2312" w:hAnsi="仿宋_GB2312" w:eastAsia="仿宋_GB2312" w:cs="仿宋_GB2312"/>
          <w:sz w:val="32"/>
          <w:szCs w:val="32"/>
          <w:highlight w:val="none"/>
          <w:lang w:bidi="zh-TW"/>
        </w:rPr>
        <w:fldChar w:fldCharType="begin"/>
      </w:r>
      <w:r>
        <w:rPr>
          <w:rFonts w:hint="eastAsia" w:ascii="仿宋_GB2312" w:hAnsi="仿宋_GB2312" w:eastAsia="仿宋_GB2312" w:cs="仿宋_GB2312"/>
          <w:sz w:val="32"/>
          <w:szCs w:val="32"/>
          <w:highlight w:val="none"/>
          <w:lang w:bidi="zh-TW"/>
        </w:rPr>
        <w:instrText xml:space="preserve"> HYPERLINK "http://www.baidu.com/link?url=jYIHYXPIohHAqcYYhrKxMLQXsWdoVpZutQNBmLa9KxCR8MfIVxle31tNHtiHwrJEOn27kLjovWGmcVDPtOEBbc3PL-gIcUdFt1QkbYlb373" \t "https://www.baidu.com/_blank" </w:instrText>
      </w:r>
      <w:r>
        <w:rPr>
          <w:rFonts w:hint="eastAsia" w:ascii="仿宋_GB2312" w:hAnsi="仿宋_GB2312" w:eastAsia="仿宋_GB2312" w:cs="仿宋_GB2312"/>
          <w:sz w:val="32"/>
          <w:szCs w:val="32"/>
          <w:highlight w:val="none"/>
          <w:lang w:bidi="zh-TW"/>
        </w:rPr>
        <w:fldChar w:fldCharType="separate"/>
      </w:r>
      <w:r>
        <w:rPr>
          <w:rFonts w:hint="eastAsia" w:ascii="仿宋_GB2312" w:hAnsi="仿宋_GB2312" w:eastAsia="仿宋_GB2312" w:cs="仿宋_GB2312"/>
          <w:sz w:val="32"/>
          <w:szCs w:val="32"/>
          <w:highlight w:val="none"/>
          <w:lang w:bidi="zh-TW"/>
        </w:rPr>
        <w:t>荔乡风貌贷</w:t>
      </w:r>
      <w:r>
        <w:rPr>
          <w:rFonts w:hint="eastAsia" w:ascii="仿宋_GB2312" w:hAnsi="仿宋_GB2312" w:eastAsia="仿宋_GB2312" w:cs="仿宋_GB2312"/>
          <w:sz w:val="32"/>
          <w:szCs w:val="32"/>
          <w:highlight w:val="none"/>
          <w:lang w:bidi="zh-TW"/>
        </w:rPr>
        <w:fldChar w:fldCharType="end"/>
      </w:r>
      <w:r>
        <w:rPr>
          <w:rFonts w:hint="eastAsia" w:ascii="仿宋_GB2312" w:hAnsi="仿宋_GB2312" w:eastAsia="仿宋_GB2312" w:cs="仿宋_GB2312"/>
          <w:sz w:val="32"/>
          <w:szCs w:val="32"/>
          <w:highlight w:val="none"/>
          <w:lang w:bidi="zh-TW"/>
        </w:rPr>
        <w:t>”，在</w:t>
      </w:r>
      <w:r>
        <w:rPr>
          <w:rFonts w:hint="eastAsia" w:hAnsi="仿宋_GB2312" w:eastAsia="仿宋_GB2312" w:cs="仿宋_GB2312"/>
          <w:sz w:val="32"/>
          <w:szCs w:val="32"/>
          <w:highlight w:val="none"/>
          <w:lang w:bidi="zh-TW"/>
        </w:rPr>
        <w:t>全省首次实现农村金融支持乡村风貌提升，具有深入试点价值。持续扩大农业政策性保险范围，全市开展的农业政策性险种有水稻、水果、生猪、农房等10多种，其中农房承保覆盖率100%、水稻承保覆盖率历年</w:t>
      </w:r>
      <w:r>
        <w:rPr>
          <w:rFonts w:hint="eastAsia" w:hAnsi="仿宋_GB2312" w:eastAsia="仿宋_GB2312" w:cs="仿宋_GB2312"/>
          <w:spacing w:val="6"/>
          <w:sz w:val="32"/>
          <w:szCs w:val="32"/>
          <w:highlight w:val="none"/>
          <w:lang w:bidi="zh-TW"/>
        </w:rPr>
        <w:t>达95%以上。2020年农业保险深度为0.67%，比2015年提升0.37个百分点，农业保险品种从2015年的6个增加到2020年的16个。</w:t>
      </w:r>
    </w:p>
    <w:p>
      <w:pPr>
        <w:pStyle w:val="6"/>
        <w:spacing w:before="0" w:beforeLines="0" w:after="0" w:afterLines="0" w:line="600" w:lineRule="exact"/>
        <w:ind w:firstLine="640" w:firstLineChars="200"/>
        <w:rPr>
          <w:rFonts w:hint="eastAsia" w:ascii="黑体" w:hAnsi="黑体" w:eastAsia="黑体" w:cs="黑体"/>
          <w:b w:val="0"/>
          <w:bCs w:val="0"/>
          <w:szCs w:val="22"/>
          <w:highlight w:val="none"/>
        </w:rPr>
      </w:pPr>
      <w:bookmarkStart w:id="136" w:name="_Toc1604"/>
      <w:bookmarkStart w:id="137" w:name="_Toc29379"/>
      <w:bookmarkStart w:id="138" w:name="_Toc20179"/>
      <w:bookmarkStart w:id="139" w:name="_Toc23418"/>
      <w:bookmarkStart w:id="140" w:name="_Toc21000"/>
      <w:bookmarkStart w:id="141" w:name="_Toc29146"/>
      <w:bookmarkStart w:id="142" w:name="_Toc6567"/>
      <w:bookmarkStart w:id="143" w:name="_Toc21987"/>
      <w:bookmarkStart w:id="144" w:name="_Toc15229"/>
      <w:bookmarkStart w:id="145" w:name="_Toc17541"/>
      <w:bookmarkStart w:id="146" w:name="_Toc21027"/>
      <w:bookmarkStart w:id="147" w:name="_Toc9791"/>
      <w:bookmarkStart w:id="148" w:name="_Toc1582"/>
      <w:bookmarkStart w:id="149" w:name="_Toc10635"/>
      <w:bookmarkStart w:id="150" w:name="_Toc4377"/>
      <w:r>
        <w:rPr>
          <w:rFonts w:hint="eastAsia" w:ascii="黑体" w:hAnsi="黑体" w:eastAsia="黑体" w:cs="黑体"/>
          <w:b w:val="0"/>
          <w:bCs w:val="0"/>
          <w:szCs w:val="22"/>
          <w:highlight w:val="none"/>
        </w:rPr>
        <w:t>七、农民收入快速增长</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spacing w:line="600" w:lineRule="exact"/>
        <w:ind w:firstLine="640" w:firstLineChars="200"/>
        <w:rPr>
          <w:rFonts w:hint="eastAsia" w:eastAsia="仿宋"/>
          <w:sz w:val="32"/>
          <w:szCs w:val="32"/>
          <w:highlight w:val="yellow"/>
          <w:lang w:val="en-US" w:eastAsia="zh-CN"/>
        </w:rPr>
      </w:pPr>
      <w:r>
        <w:rPr>
          <w:rFonts w:hint="eastAsia" w:hAnsi="仿宋_GB2312" w:eastAsia="仿宋_GB2312" w:cs="仿宋_GB2312"/>
          <w:b w:val="0"/>
          <w:bCs w:val="0"/>
          <w:sz w:val="32"/>
          <w:szCs w:val="32"/>
          <w:highlight w:val="none"/>
          <w:lang w:bidi="zh-TW"/>
        </w:rPr>
        <w:t>全市农民收入快速增长。</w:t>
      </w:r>
      <w:r>
        <w:rPr>
          <w:rFonts w:hint="eastAsia" w:hAnsi="仿宋_GB2312" w:eastAsia="仿宋_GB2312" w:cs="仿宋_GB2312"/>
          <w:sz w:val="32"/>
          <w:szCs w:val="32"/>
          <w:highlight w:val="none"/>
          <w:lang w:bidi="zh-TW"/>
        </w:rPr>
        <w:t>全市农村</w:t>
      </w:r>
      <w:r>
        <w:rPr>
          <w:rFonts w:hint="eastAsia" w:ascii="仿宋_GB2312" w:hAnsi="仿宋_GB2312" w:eastAsia="仿宋_GB2312" w:cs="仿宋_GB2312"/>
          <w:sz w:val="32"/>
          <w:szCs w:val="32"/>
          <w:highlight w:val="none"/>
          <w:lang w:bidi="zh-TW"/>
        </w:rPr>
        <w:t>居民收入结构呈现“以工资性收入、家庭经营收入并重，财产性与转移性收入比重继续攀升”的良好态势。积极开展农村劳动力就业培训，深入推进“双转移”，工资性收入大幅增长；引导农民调整农业产业结构，提高种养水平，经营性收入快速提</w:t>
      </w:r>
      <w:r>
        <w:rPr>
          <w:rFonts w:hint="eastAsia" w:hAnsi="仿宋_GB2312" w:eastAsia="仿宋_GB2312" w:cs="仿宋_GB2312"/>
          <w:sz w:val="32"/>
          <w:szCs w:val="32"/>
          <w:highlight w:val="none"/>
          <w:lang w:bidi="zh-TW"/>
        </w:rPr>
        <w:t>高；积极落实种粮直补、农机购置补贴、良种补贴、渔用柴油补贴、能繁母猪保险保费补贴等农业</w:t>
      </w:r>
      <w:r>
        <w:rPr>
          <w:rFonts w:hint="eastAsia" w:hAnsi="仿宋_GB2312" w:eastAsia="仿宋_GB2312" w:cs="仿宋_GB2312"/>
          <w:spacing w:val="-8"/>
          <w:sz w:val="32"/>
          <w:szCs w:val="32"/>
          <w:highlight w:val="none"/>
          <w:lang w:bidi="zh-TW"/>
        </w:rPr>
        <w:t>补贴，转移性收入不断增加。2020年，农村居民人均可支配收入19621.2元，同比增长6.2%，</w:t>
      </w:r>
      <w:r>
        <w:rPr>
          <w:rFonts w:hint="eastAsia" w:ascii="仿宋_GB2312" w:hAnsi="仿宋_GB2312" w:eastAsia="仿宋_GB2312" w:cs="仿宋_GB2312"/>
          <w:spacing w:val="-8"/>
          <w:sz w:val="32"/>
          <w:szCs w:val="32"/>
          <w:highlight w:val="none"/>
          <w:lang w:bidi="zh-TW"/>
        </w:rPr>
        <w:t>“十三五”期间年</w:t>
      </w:r>
      <w:r>
        <w:rPr>
          <w:rFonts w:hint="eastAsia" w:hAnsi="仿宋_GB2312" w:eastAsia="仿宋_GB2312" w:cs="仿宋_GB2312"/>
          <w:spacing w:val="-8"/>
          <w:sz w:val="32"/>
          <w:szCs w:val="32"/>
          <w:highlight w:val="none"/>
          <w:lang w:bidi="zh-TW"/>
        </w:rPr>
        <w:t>均增长8.2%；城乡居民人均可支配收入之比为1.57，比2015年的1.61下降0.04</w:t>
      </w:r>
      <w:r>
        <w:rPr>
          <w:rFonts w:hAnsi="仿宋_GB2312" w:eastAsia="仿宋_GB2312" w:cs="仿宋_GB2312"/>
          <w:spacing w:val="-8"/>
          <w:highlight w:val="none"/>
          <w:lang w:bidi="zh-TW"/>
        </w:rPr>
        <w:t>（图1-3）。</w:t>
      </w:r>
    </w:p>
    <w:p>
      <w:pPr>
        <w:ind w:firstLine="0" w:firstLineChars="0"/>
        <w:rPr>
          <w:highlight w:val="none"/>
        </w:rPr>
      </w:pPr>
      <w:bookmarkStart w:id="151" w:name="_1666613420"/>
      <w:bookmarkEnd w:id="151"/>
      <w:r>
        <w:rPr>
          <w:highlight w:val="none"/>
        </w:rPr>
        <w:drawing>
          <wp:inline distT="0" distB="0" distL="114300" distR="114300">
            <wp:extent cx="4971415" cy="2437130"/>
            <wp:effectExtent l="0" t="0" r="6985" b="127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2"/>
                    <a:stretch>
                      <a:fillRect/>
                    </a:stretch>
                  </pic:blipFill>
                  <pic:spPr>
                    <a:xfrm>
                      <a:off x="0" y="0"/>
                      <a:ext cx="4971415" cy="2437130"/>
                    </a:xfrm>
                    <a:prstGeom prst="rect">
                      <a:avLst/>
                    </a:prstGeom>
                    <a:noFill/>
                    <a:ln>
                      <a:noFill/>
                    </a:ln>
                  </pic:spPr>
                </pic:pic>
              </a:graphicData>
            </a:graphic>
          </wp:inline>
        </w:drawing>
      </w:r>
    </w:p>
    <w:p>
      <w:pPr>
        <w:pStyle w:val="17"/>
        <w:spacing w:line="240" w:lineRule="auto"/>
        <w:ind w:firstLine="0" w:firstLineChars="0"/>
        <w:jc w:val="center"/>
        <w:rPr>
          <w:rFonts w:ascii="Times New Roman" w:hAnsi="Times New Roman" w:eastAsia="黑体" w:cs="Times New Roman"/>
          <w:bCs/>
          <w:sz w:val="28"/>
          <w:szCs w:val="28"/>
          <w:highlight w:val="none"/>
        </w:rPr>
      </w:pPr>
      <w:r>
        <w:rPr>
          <w:rFonts w:ascii="Times New Roman" w:hAnsi="Times New Roman" w:eastAsia="黑体" w:cs="Times New Roman"/>
          <w:bCs/>
          <w:sz w:val="28"/>
          <w:szCs w:val="28"/>
          <w:highlight w:val="none"/>
        </w:rPr>
        <w:t>图1-3  茂名市2015</w:t>
      </w:r>
      <w:r>
        <w:rPr>
          <w:rFonts w:hint="eastAsia" w:ascii="Times New Roman" w:hAnsi="Times New Roman" w:eastAsia="黑体" w:cs="Times New Roman"/>
          <w:bCs/>
          <w:sz w:val="28"/>
          <w:szCs w:val="28"/>
          <w:highlight w:val="none"/>
        </w:rPr>
        <w:t>—</w:t>
      </w:r>
      <w:r>
        <w:rPr>
          <w:rFonts w:ascii="Times New Roman" w:hAnsi="Times New Roman" w:eastAsia="黑体" w:cs="Times New Roman"/>
          <w:bCs/>
          <w:sz w:val="28"/>
          <w:szCs w:val="28"/>
          <w:highlight w:val="none"/>
        </w:rPr>
        <w:t>20</w:t>
      </w:r>
      <w:r>
        <w:rPr>
          <w:rFonts w:hint="eastAsia" w:ascii="Times New Roman" w:hAnsi="Times New Roman" w:eastAsia="黑体" w:cs="Times New Roman"/>
          <w:bCs/>
          <w:sz w:val="28"/>
          <w:szCs w:val="28"/>
          <w:highlight w:val="none"/>
        </w:rPr>
        <w:t>20</w:t>
      </w:r>
      <w:r>
        <w:rPr>
          <w:rFonts w:ascii="Times New Roman" w:hAnsi="Times New Roman" w:eastAsia="黑体" w:cs="Times New Roman"/>
          <w:bCs/>
          <w:sz w:val="28"/>
          <w:szCs w:val="28"/>
          <w:highlight w:val="none"/>
        </w:rPr>
        <w:t>年城乡居民人均可支配收入</w:t>
      </w:r>
    </w:p>
    <w:p>
      <w:pPr>
        <w:pStyle w:val="17"/>
        <w:spacing w:line="600" w:lineRule="exact"/>
        <w:ind w:firstLine="640"/>
        <w:jc w:val="left"/>
        <w:rPr>
          <w:rFonts w:hint="eastAsia" w:ascii="仿宋_GB2312" w:hAnsi="仿宋_GB2312" w:eastAsia="仿宋_GB2312" w:cs="仿宋_GB2312"/>
          <w:szCs w:val="32"/>
          <w:highlight w:val="none"/>
        </w:rPr>
      </w:pPr>
      <w:r>
        <w:rPr>
          <w:rFonts w:hint="eastAsia" w:ascii="仿宋_GB2312" w:hAnsi="仿宋_GB2312" w:eastAsia="仿宋_GB2312" w:cs="仿宋_GB2312"/>
          <w:b/>
          <w:bCs/>
          <w:szCs w:val="32"/>
          <w:highlight w:val="none"/>
          <w:lang w:val="zh-TW"/>
        </w:rPr>
        <w:t>脱贫攻坚取得决定性胜利</w:t>
      </w:r>
      <w:r>
        <w:rPr>
          <w:rFonts w:hint="eastAsia" w:ascii="仿宋_GB2312" w:hAnsi="仿宋_GB2312" w:eastAsia="仿宋_GB2312" w:cs="仿宋_GB2312"/>
          <w:b/>
          <w:bCs/>
          <w:szCs w:val="32"/>
          <w:highlight w:val="none"/>
        </w:rPr>
        <w:t>。</w:t>
      </w:r>
      <w:r>
        <w:rPr>
          <w:rFonts w:hint="eastAsia" w:ascii="仿宋_GB2312" w:hAnsi="仿宋_GB2312" w:eastAsia="仿宋_GB2312" w:cs="仿宋_GB2312"/>
          <w:szCs w:val="32"/>
          <w:highlight w:val="none"/>
        </w:rPr>
        <w:t>茂名市有精准扶贫任务的行政村1674个，其中省定贫困村180个，非贫困村1494个。全</w:t>
      </w:r>
      <w:r>
        <w:rPr>
          <w:rFonts w:hint="eastAsia" w:ascii="仿宋_GB2312" w:hAnsi="仿宋_GB2312" w:eastAsia="仿宋_GB2312" w:cs="仿宋_GB2312"/>
          <w:szCs w:val="22"/>
          <w:highlight w:val="none"/>
        </w:rPr>
        <w:t>市通过“一村一品、一镇一业”产业扶贫、创新消费扶贫机制等措施，全市建档立卡贫困人口全部达到</w:t>
      </w:r>
      <w:r>
        <w:rPr>
          <w:rFonts w:hint="eastAsia" w:ascii="仿宋_GB2312" w:hAnsi="仿宋_GB2312" w:eastAsia="仿宋_GB2312" w:cs="仿宋_GB2312"/>
          <w:szCs w:val="32"/>
          <w:highlight w:val="none"/>
        </w:rPr>
        <w:t>脱贫退出标准，180个省定贫困村全部达到出列标准，脱贫攻坚取得决定性胜利。通过农村低保制度与扶贫开发政策的有效衔接，对纳入低保特困范围给予政策性保障兜底的无劳动能力贫困人口，均100%纳入低保和特困范围兜底保障。</w:t>
      </w:r>
    </w:p>
    <w:p>
      <w:pPr>
        <w:pStyle w:val="6"/>
        <w:spacing w:before="0" w:beforeLines="0" w:after="0" w:afterLines="0" w:line="600" w:lineRule="exact"/>
        <w:ind w:firstLine="640" w:firstLineChars="200"/>
        <w:rPr>
          <w:rFonts w:hint="eastAsia" w:ascii="黑体" w:hAnsi="黑体" w:eastAsia="黑体" w:cs="黑体"/>
          <w:b w:val="0"/>
          <w:bCs w:val="0"/>
          <w:szCs w:val="22"/>
          <w:highlight w:val="none"/>
        </w:rPr>
      </w:pPr>
      <w:bookmarkStart w:id="152" w:name="_Toc29838"/>
      <w:bookmarkStart w:id="153" w:name="_Toc1013"/>
      <w:bookmarkStart w:id="154" w:name="_Toc14751"/>
      <w:bookmarkStart w:id="155" w:name="_Toc21445"/>
      <w:bookmarkStart w:id="156" w:name="_Toc23299"/>
      <w:bookmarkStart w:id="157" w:name="_Toc6373"/>
      <w:bookmarkStart w:id="158" w:name="_Toc64"/>
      <w:bookmarkStart w:id="159" w:name="_Toc28838"/>
      <w:bookmarkStart w:id="160" w:name="_Toc21743"/>
      <w:bookmarkStart w:id="161" w:name="_Toc15731"/>
      <w:bookmarkStart w:id="162" w:name="_Toc21334"/>
      <w:bookmarkStart w:id="163" w:name="_Toc27113"/>
      <w:bookmarkStart w:id="164" w:name="_Toc13451"/>
      <w:bookmarkStart w:id="165" w:name="_Toc31484"/>
      <w:bookmarkStart w:id="166" w:name="_Toc15171"/>
      <w:r>
        <w:rPr>
          <w:rFonts w:hint="eastAsia" w:ascii="黑体" w:hAnsi="黑体" w:eastAsia="黑体" w:cs="黑体"/>
          <w:b w:val="0"/>
          <w:bCs w:val="0"/>
          <w:szCs w:val="22"/>
          <w:highlight w:val="none"/>
        </w:rPr>
        <w:t>八、城乡融合进一步推进</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17"/>
        <w:spacing w:line="600" w:lineRule="exact"/>
        <w:ind w:firstLine="640"/>
        <w:jc w:val="left"/>
        <w:rPr>
          <w:rFonts w:hint="eastAsia" w:ascii="仿宋_GB2312" w:hAnsi="仿宋_GB2312" w:eastAsia="仿宋_GB2312" w:cs="仿宋_GB2312"/>
          <w:szCs w:val="32"/>
          <w:highlight w:val="none"/>
        </w:rPr>
      </w:pPr>
      <w:r>
        <w:rPr>
          <w:rFonts w:hint="eastAsia" w:ascii="仿宋_GB2312" w:hAnsi="仿宋_GB2312" w:eastAsia="仿宋_GB2312" w:cs="仿宋_GB2312"/>
          <w:b/>
          <w:bCs/>
          <w:szCs w:val="32"/>
          <w:highlight w:val="none"/>
        </w:rPr>
        <w:t>人才、土地、资金等城乡融合要素逐步优化。</w:t>
      </w:r>
      <w:r>
        <w:rPr>
          <w:rFonts w:hint="eastAsia" w:ascii="仿宋_GB2312" w:hAnsi="仿宋_GB2312" w:eastAsia="仿宋_GB2312" w:cs="仿宋_GB2312"/>
          <w:szCs w:val="32"/>
          <w:highlight w:val="none"/>
        </w:rPr>
        <w:t>人才</w:t>
      </w:r>
      <w:r>
        <w:rPr>
          <w:rFonts w:hint="eastAsia" w:ascii="仿宋_GB2312" w:hAnsi="仿宋_GB2312" w:eastAsia="仿宋_GB2312" w:cs="仿宋_GB2312"/>
          <w:szCs w:val="22"/>
          <w:highlight w:val="none"/>
        </w:rPr>
        <w:t>方面，全面实施“粤菜师傅”“南粤家政”工程，开展新型职业农</w:t>
      </w:r>
      <w:r>
        <w:rPr>
          <w:rFonts w:hint="eastAsia" w:ascii="仿宋_GB2312" w:hAnsi="仿宋_GB2312" w:eastAsia="仿宋_GB2312" w:cs="仿宋_GB2312"/>
          <w:szCs w:val="32"/>
          <w:highlight w:val="none"/>
        </w:rPr>
        <w:t>民培育。落实扶农优惠政策，激励农民就业创业。用地方面，优先保障乡村振兴建设用地，全市共供应18批次用地涉乡村振兴指标，使用市级指标（新增建设用地指标）58.9754公顷，占比24.2%（省要求10%）。资金投入方面，全市涉农财政资金投入稳步增加，全市各项普惠性涉农贷款增速高于各项贷款平均增速4.16个百分点。</w:t>
      </w:r>
    </w:p>
    <w:p>
      <w:pPr>
        <w:pStyle w:val="17"/>
        <w:spacing w:line="600" w:lineRule="exact"/>
        <w:ind w:firstLine="640"/>
        <w:jc w:val="left"/>
        <w:rPr>
          <w:rFonts w:hint="eastAsia" w:ascii="仿宋_GB2312" w:hAnsi="仿宋_GB2312" w:eastAsia="仿宋_GB2312" w:cs="仿宋_GB2312"/>
          <w:szCs w:val="32"/>
          <w:highlight w:val="none"/>
        </w:rPr>
      </w:pPr>
      <w:r>
        <w:rPr>
          <w:rFonts w:hint="eastAsia" w:ascii="仿宋_GB2312" w:hAnsi="仿宋_GB2312" w:eastAsia="仿宋_GB2312" w:cs="仿宋_GB2312"/>
          <w:b/>
          <w:bCs/>
          <w:szCs w:val="32"/>
          <w:highlight w:val="none"/>
        </w:rPr>
        <w:t>农村基础设施和公共服务一体化水平逐步提升。</w:t>
      </w:r>
      <w:r>
        <w:rPr>
          <w:rFonts w:hint="eastAsia" w:ascii="仿宋_GB2312" w:hAnsi="仿宋_GB2312" w:eastAsia="仿宋_GB2312" w:cs="仿宋_GB2312"/>
          <w:szCs w:val="32"/>
          <w:highlight w:val="none"/>
        </w:rPr>
        <w:t>超额</w:t>
      </w:r>
      <w:r>
        <w:rPr>
          <w:rFonts w:hint="eastAsia" w:ascii="仿宋_GB2312" w:hAnsi="仿宋_GB2312" w:eastAsia="仿宋_GB2312" w:cs="仿宋_GB2312"/>
          <w:szCs w:val="22"/>
          <w:highlight w:val="none"/>
        </w:rPr>
        <w:t>完成“四好农村路”“畅返不畅”整治工程。全市完成</w:t>
      </w:r>
      <w:r>
        <w:rPr>
          <w:rFonts w:hint="eastAsia" w:ascii="仿宋_GB2312" w:hAnsi="仿宋_GB2312" w:eastAsia="仿宋_GB2312" w:cs="仿宋_GB2312"/>
          <w:szCs w:val="32"/>
          <w:highlight w:val="none"/>
        </w:rPr>
        <w:t>村村通自来水工程建设任务，</w:t>
      </w:r>
      <w:r>
        <w:rPr>
          <w:rFonts w:hint="eastAsia" w:ascii="仿宋_GB2312" w:hAnsi="仿宋_GB2312" w:eastAsia="仿宋_GB2312" w:cs="仿宋_GB2312"/>
          <w:color w:val="auto"/>
          <w:szCs w:val="32"/>
          <w:highlight w:val="none"/>
        </w:rPr>
        <w:t>农村人口自来水达到99%以上</w:t>
      </w:r>
      <w:r>
        <w:rPr>
          <w:rFonts w:hint="eastAsia" w:ascii="仿宋_GB2312" w:hAnsi="仿宋_GB2312" w:eastAsia="仿宋_GB2312" w:cs="仿宋_GB2312"/>
          <w:szCs w:val="32"/>
          <w:highlight w:val="none"/>
        </w:rPr>
        <w:t>。推进农村物流服务体系建设，实现县级物流服务中心、乡镇级物流站覆盖率100%。农村电网改造和信息基础设施建设持续推进，全部行政村和180个省定贫困村实现光纤、4G网络全覆盖。乡村医疗基本公共服务水平不断提升。</w:t>
      </w:r>
    </w:p>
    <w:p>
      <w:pPr>
        <w:pStyle w:val="17"/>
        <w:spacing w:line="600" w:lineRule="exact"/>
        <w:ind w:firstLine="640"/>
        <w:jc w:val="left"/>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十三五”期末农业农村工作任务总体完成。高标准农田建设目标超额完成，除水产品外，粮食、蔬菜、水果、肉类等产量均超过“十三五”规划目标值，有效保障了重要农产品供给。除农业机械总动力外，农业发展水平目标均顺利完成，且农林牧渔业总产值首破千亿元大关。农民生活水平、产业融合发展水平以及可持续发展水平等指标均实现规划目标。</w:t>
      </w:r>
    </w:p>
    <w:p>
      <w:pPr>
        <w:pStyle w:val="17"/>
        <w:spacing w:line="600" w:lineRule="exact"/>
        <w:ind w:firstLine="560" w:firstLineChars="0"/>
        <w:jc w:val="both"/>
        <w:rPr>
          <w:rFonts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表1-1</w:t>
      </w:r>
      <w:r>
        <w:rPr>
          <w:rFonts w:hint="eastAsia" w:ascii="Times New Roman" w:hAnsi="Times New Roman" w:eastAsia="黑体" w:cs="Times New Roman"/>
          <w:bCs/>
          <w:sz w:val="28"/>
          <w:szCs w:val="28"/>
          <w:highlight w:val="none"/>
        </w:rPr>
        <w:t xml:space="preserve">  “</w:t>
      </w:r>
      <w:r>
        <w:rPr>
          <w:rFonts w:ascii="Times New Roman" w:hAnsi="Times New Roman" w:eastAsia="黑体" w:cs="Times New Roman"/>
          <w:bCs/>
          <w:sz w:val="28"/>
          <w:szCs w:val="28"/>
          <w:highlight w:val="none"/>
        </w:rPr>
        <w:t>十三五</w:t>
      </w:r>
      <w:r>
        <w:rPr>
          <w:rFonts w:hint="eastAsia" w:ascii="Times New Roman" w:hAnsi="Times New Roman" w:eastAsia="黑体" w:cs="Times New Roman"/>
          <w:bCs/>
          <w:sz w:val="28"/>
          <w:szCs w:val="28"/>
          <w:highlight w:val="none"/>
        </w:rPr>
        <w:t>”</w:t>
      </w:r>
      <w:r>
        <w:rPr>
          <w:rFonts w:ascii="Times New Roman" w:hAnsi="Times New Roman" w:eastAsia="黑体" w:cs="Times New Roman"/>
          <w:bCs/>
          <w:sz w:val="28"/>
          <w:szCs w:val="28"/>
          <w:highlight w:val="none"/>
        </w:rPr>
        <w:t>期末</w:t>
      </w:r>
      <w:r>
        <w:rPr>
          <w:rFonts w:hint="eastAsia" w:ascii="Times New Roman" w:hAnsi="Times New Roman" w:eastAsia="黑体" w:cs="Times New Roman"/>
          <w:bCs/>
          <w:sz w:val="28"/>
          <w:szCs w:val="28"/>
          <w:highlight w:val="none"/>
        </w:rPr>
        <w:t>茂名</w:t>
      </w:r>
      <w:r>
        <w:rPr>
          <w:rFonts w:ascii="Times New Roman" w:hAnsi="Times New Roman" w:eastAsia="黑体" w:cs="Times New Roman"/>
          <w:bCs/>
          <w:sz w:val="28"/>
          <w:szCs w:val="28"/>
          <w:highlight w:val="none"/>
        </w:rPr>
        <w:t>市农业农村规划主要指标完成情况</w:t>
      </w: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07"/>
        <w:gridCol w:w="3660"/>
        <w:gridCol w:w="915"/>
        <w:gridCol w:w="1245"/>
        <w:gridCol w:w="1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14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黑体" w:hAnsi="黑体" w:eastAsia="黑体" w:cs="黑体"/>
                <w:bCs w:val="0"/>
                <w:kern w:val="0"/>
                <w:sz w:val="24"/>
                <w:szCs w:val="24"/>
                <w:highlight w:val="none"/>
                <w:lang w:val="zh-CN"/>
              </w:rPr>
            </w:pPr>
            <w:r>
              <w:rPr>
                <w:rFonts w:hint="eastAsia" w:ascii="黑体" w:hAnsi="黑体" w:eastAsia="黑体" w:cs="黑体"/>
                <w:bCs w:val="0"/>
                <w:kern w:val="0"/>
                <w:sz w:val="24"/>
                <w:szCs w:val="24"/>
                <w:highlight w:val="none"/>
                <w:lang w:val="zh-CN"/>
              </w:rPr>
              <w:t>类别</w:t>
            </w: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黑体" w:hAnsi="黑体" w:eastAsia="黑体" w:cs="黑体"/>
                <w:bCs w:val="0"/>
                <w:kern w:val="0"/>
                <w:sz w:val="24"/>
                <w:szCs w:val="24"/>
                <w:highlight w:val="none"/>
                <w:lang w:val="zh-CN"/>
              </w:rPr>
            </w:pPr>
            <w:r>
              <w:rPr>
                <w:rFonts w:hint="eastAsia" w:ascii="黑体" w:hAnsi="黑体" w:eastAsia="黑体" w:cs="黑体"/>
                <w:bCs w:val="0"/>
                <w:kern w:val="0"/>
                <w:sz w:val="24"/>
                <w:szCs w:val="24"/>
                <w:highlight w:val="none"/>
                <w:lang w:val="zh-CN"/>
              </w:rPr>
              <w:t>指标名称</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黑体" w:hAnsi="黑体" w:eastAsia="黑体" w:cs="黑体"/>
                <w:bCs w:val="0"/>
                <w:kern w:val="0"/>
                <w:sz w:val="24"/>
                <w:szCs w:val="24"/>
                <w:highlight w:val="none"/>
                <w:lang w:val="zh-CN"/>
              </w:rPr>
            </w:pPr>
            <w:r>
              <w:rPr>
                <w:rFonts w:hint="eastAsia" w:ascii="黑体" w:hAnsi="黑体" w:eastAsia="黑体" w:cs="黑体"/>
                <w:bCs w:val="0"/>
                <w:kern w:val="0"/>
                <w:sz w:val="24"/>
                <w:szCs w:val="24"/>
                <w:highlight w:val="none"/>
                <w:lang w:val="zh-CN"/>
              </w:rPr>
              <w:t>单位</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黑体" w:hAnsi="黑体" w:eastAsia="黑体" w:cs="黑体"/>
                <w:kern w:val="0"/>
                <w:sz w:val="24"/>
                <w:highlight w:val="none"/>
              </w:rPr>
            </w:pPr>
            <w:r>
              <w:rPr>
                <w:rFonts w:hint="eastAsia" w:ascii="黑体" w:hAnsi="黑体" w:eastAsia="黑体" w:cs="黑体"/>
                <w:kern w:val="0"/>
                <w:sz w:val="24"/>
                <w:highlight w:val="none"/>
              </w:rPr>
              <w:t>2020年</w:t>
            </w:r>
          </w:p>
          <w:p>
            <w:pPr>
              <w:widowControl/>
              <w:spacing w:line="360" w:lineRule="exact"/>
              <w:ind w:firstLine="0"/>
              <w:jc w:val="center"/>
              <w:rPr>
                <w:rFonts w:hint="eastAsia" w:ascii="黑体" w:hAnsi="黑体" w:eastAsia="黑体" w:cs="黑体"/>
                <w:bCs w:val="0"/>
                <w:kern w:val="0"/>
                <w:sz w:val="24"/>
                <w:szCs w:val="24"/>
                <w:highlight w:val="none"/>
              </w:rPr>
            </w:pPr>
            <w:r>
              <w:rPr>
                <w:rFonts w:hint="eastAsia" w:ascii="黑体" w:hAnsi="黑体" w:eastAsia="黑体" w:cs="黑体"/>
                <w:kern w:val="0"/>
                <w:sz w:val="24"/>
                <w:highlight w:val="none"/>
              </w:rPr>
              <w:t>规划值</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黑体" w:hAnsi="黑体" w:eastAsia="黑体" w:cs="黑体"/>
                <w:kern w:val="0"/>
                <w:sz w:val="24"/>
                <w:highlight w:val="none"/>
              </w:rPr>
            </w:pPr>
            <w:r>
              <w:rPr>
                <w:rFonts w:hint="eastAsia" w:ascii="黑体" w:hAnsi="黑体" w:eastAsia="黑体" w:cs="黑体"/>
                <w:kern w:val="0"/>
                <w:sz w:val="24"/>
                <w:highlight w:val="none"/>
              </w:rPr>
              <w:t>2020年</w:t>
            </w:r>
          </w:p>
          <w:p>
            <w:pPr>
              <w:widowControl/>
              <w:spacing w:line="360" w:lineRule="exact"/>
              <w:ind w:firstLine="0"/>
              <w:jc w:val="center"/>
              <w:rPr>
                <w:rFonts w:hint="eastAsia" w:ascii="黑体" w:hAnsi="黑体" w:eastAsia="黑体" w:cs="黑体"/>
                <w:bCs w:val="0"/>
                <w:kern w:val="0"/>
                <w:sz w:val="24"/>
                <w:szCs w:val="24"/>
                <w:highlight w:val="none"/>
              </w:rPr>
            </w:pPr>
            <w:r>
              <w:rPr>
                <w:rFonts w:hint="eastAsia" w:ascii="黑体" w:hAnsi="黑体" w:eastAsia="黑体" w:cs="黑体"/>
                <w:kern w:val="0"/>
                <w:sz w:val="24"/>
                <w:highlight w:val="none"/>
              </w:rPr>
              <w:t>实现值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rPr>
                <w:rFonts w:hint="eastAsia" w:ascii="仿宋_GB2312" w:hAnsi="仿宋_GB2312" w:eastAsia="仿宋_GB2312" w:cs="仿宋_GB2312"/>
                <w:kern w:val="0"/>
                <w:sz w:val="24"/>
                <w:highlight w:val="none"/>
              </w:rPr>
            </w:pPr>
          </w:p>
          <w:p>
            <w:pPr>
              <w:widowControl/>
              <w:spacing w:line="360" w:lineRule="exact"/>
              <w:ind w:firstLine="0"/>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重要</w:t>
            </w:r>
          </w:p>
          <w:p>
            <w:pPr>
              <w:widowControl/>
              <w:spacing w:line="360" w:lineRule="exact"/>
              <w:ind w:firstLine="0"/>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农产品</w:t>
            </w:r>
          </w:p>
          <w:p>
            <w:pPr>
              <w:widowControl/>
              <w:spacing w:line="360" w:lineRule="exact"/>
              <w:ind w:firstLine="0"/>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供给</w:t>
            </w:r>
          </w:p>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保障</w:t>
            </w: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高标准农田面积</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万亩</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227.4</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276.25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560"/>
              <w:rPr>
                <w:rFonts w:hint="eastAsia" w:ascii="仿宋_GB2312" w:hAnsi="仿宋_GB2312" w:eastAsia="仿宋_GB2312" w:cs="仿宋_GB2312"/>
                <w:bCs w:val="0"/>
                <w:kern w:val="0"/>
                <w:sz w:val="24"/>
                <w:szCs w:val="24"/>
                <w:highlight w:val="none"/>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both"/>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粮食综合生产能力</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万吨</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240" w:firstLineChars="10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＞142</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152.77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蔬菜产量</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万吨</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310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359.57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水果总产量</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万吨</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380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lang w:val="en-US"/>
              </w:rPr>
            </w:pPr>
            <w:r>
              <w:rPr>
                <w:rFonts w:hint="eastAsia" w:ascii="仿宋_GB2312" w:hAnsi="仿宋_GB2312" w:eastAsia="仿宋_GB2312" w:cs="仿宋_GB2312"/>
                <w:kern w:val="0"/>
                <w:sz w:val="24"/>
                <w:highlight w:val="none"/>
              </w:rPr>
              <w:t>425.63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肉类总产量</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万吨</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58</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lang w:val="en-US"/>
              </w:rPr>
            </w:pPr>
            <w:r>
              <w:rPr>
                <w:rFonts w:hint="eastAsia" w:ascii="仿宋_GB2312" w:hAnsi="仿宋_GB2312" w:eastAsia="仿宋_GB2312" w:cs="仿宋_GB2312"/>
                <w:kern w:val="0"/>
                <w:sz w:val="24"/>
                <w:highlight w:val="none"/>
              </w:rPr>
              <w:t>73.68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水产品总产量</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万吨</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农业</w:t>
            </w:r>
          </w:p>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发展水平</w:t>
            </w: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农林牧渔业总产值</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亿元</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735</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lang w:val="en-US"/>
              </w:rPr>
            </w:pPr>
            <w:r>
              <w:rPr>
                <w:rFonts w:hint="eastAsia" w:ascii="仿宋_GB2312" w:hAnsi="仿宋_GB2312" w:eastAsia="仿宋_GB2312" w:cs="仿宋_GB2312"/>
                <w:kern w:val="0"/>
                <w:sz w:val="24"/>
                <w:highlight w:val="none"/>
                <w:lang w:val="zh-CN"/>
              </w:rPr>
              <w:t>1038.5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560"/>
              <w:rPr>
                <w:rFonts w:hint="eastAsia" w:ascii="仿宋_GB2312" w:hAnsi="仿宋_GB2312" w:eastAsia="仿宋_GB2312" w:cs="仿宋_GB2312"/>
                <w:bCs w:val="0"/>
                <w:kern w:val="0"/>
                <w:sz w:val="24"/>
                <w:szCs w:val="24"/>
                <w:highlight w:val="none"/>
                <w:lang w:val="zh-CN"/>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both"/>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农林牧渔总产值年均增长率</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3.5</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560"/>
              <w:rPr>
                <w:rFonts w:hint="eastAsia" w:ascii="仿宋_GB2312" w:hAnsi="仿宋_GB2312" w:eastAsia="仿宋_GB2312" w:cs="仿宋_GB2312"/>
                <w:bCs w:val="0"/>
                <w:kern w:val="0"/>
                <w:sz w:val="24"/>
                <w:szCs w:val="24"/>
                <w:highlight w:val="none"/>
                <w:lang w:val="zh-CN"/>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both"/>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省级以上农业龙头企业</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家</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68</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lang w:val="zh-CN"/>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农业机械总动力</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万千瓦</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280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213.59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560"/>
              <w:rPr>
                <w:rFonts w:hint="eastAsia" w:ascii="仿宋_GB2312" w:hAnsi="仿宋_GB2312" w:eastAsia="仿宋_GB2312" w:cs="仿宋_GB2312"/>
                <w:bCs w:val="0"/>
                <w:kern w:val="0"/>
                <w:sz w:val="24"/>
                <w:szCs w:val="24"/>
                <w:highlight w:val="none"/>
                <w:lang w:val="zh-CN"/>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both"/>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水稻耕种收综合机械化水平</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70.4</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lang w:val="zh-CN"/>
              </w:rPr>
            </w:pPr>
            <w:r>
              <w:rPr>
                <w:rFonts w:hint="eastAsia" w:ascii="仿宋_GB2312" w:hAnsi="仿宋_GB2312" w:eastAsia="仿宋_GB2312" w:cs="仿宋_GB2312"/>
                <w:kern w:val="0"/>
                <w:sz w:val="24"/>
                <w:highlight w:val="none"/>
              </w:rPr>
              <w:t>73.52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农民生活水平</w:t>
            </w: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both"/>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农村常住居民人均可支配收入</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元</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19426</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ind w:firstLine="0"/>
              <w:jc w:val="center"/>
              <w:rPr>
                <w:rFonts w:hint="eastAsia" w:ascii="仿宋_GB2312" w:hAnsi="仿宋_GB2312" w:eastAsia="仿宋_GB2312" w:cs="仿宋_GB2312"/>
                <w:bCs w:val="0"/>
                <w:kern w:val="0"/>
                <w:sz w:val="24"/>
                <w:szCs w:val="24"/>
                <w:highlight w:val="none"/>
              </w:rPr>
            </w:pPr>
            <w:r>
              <w:rPr>
                <w:rFonts w:hint="eastAsia" w:ascii="仿宋_GB2312" w:hAnsi="仿宋_GB2312" w:eastAsia="仿宋_GB2312" w:cs="仿宋_GB2312"/>
                <w:kern w:val="0"/>
                <w:sz w:val="24"/>
                <w:highlight w:val="none"/>
              </w:rPr>
              <w:t>19621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产业融合发展水平</w:t>
            </w: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省级休闲农业与乡村旅游示范镇</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个</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5</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lang w:val="zh-CN"/>
              </w:rPr>
            </w:pP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省级休闲农业与乡村旅游示范点</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个</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可持续发展水平</w:t>
            </w:r>
          </w:p>
        </w:tc>
        <w:tc>
          <w:tcPr>
            <w:tcW w:w="36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both"/>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畜禽规模养殖场废弃物利用率</w:t>
            </w: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75</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92.26</w:t>
            </w:r>
          </w:p>
        </w:tc>
      </w:tr>
      <w:bookmarkEnd w:id="18"/>
    </w:tbl>
    <w:p>
      <w:pPr>
        <w:pStyle w:val="5"/>
        <w:spacing w:before="0" w:beforeLines="0" w:after="0" w:afterLines="0" w:line="600" w:lineRule="exact"/>
        <w:jc w:val="center"/>
        <w:rPr>
          <w:rFonts w:ascii="Times New Roman" w:hAnsi="Times New Roman" w:eastAsia="黑体"/>
          <w:b w:val="0"/>
          <w:bCs w:val="0"/>
          <w:sz w:val="32"/>
          <w:highlight w:val="none"/>
        </w:rPr>
      </w:pPr>
      <w:bookmarkStart w:id="167" w:name="_Toc7467"/>
      <w:bookmarkStart w:id="168" w:name="_Toc22590"/>
      <w:bookmarkStart w:id="169" w:name="_Toc3720"/>
      <w:bookmarkStart w:id="170" w:name="_Toc5735"/>
      <w:bookmarkStart w:id="171" w:name="_Toc1668"/>
      <w:bookmarkStart w:id="172" w:name="_Toc22260"/>
      <w:bookmarkStart w:id="173" w:name="_Toc28758"/>
      <w:bookmarkStart w:id="174" w:name="_Toc6930"/>
      <w:bookmarkStart w:id="175" w:name="_Toc3080"/>
      <w:bookmarkStart w:id="176" w:name="_Toc28126"/>
      <w:bookmarkStart w:id="177" w:name="_Toc30077"/>
      <w:bookmarkStart w:id="178" w:name="_Toc10098"/>
      <w:bookmarkStart w:id="179" w:name="_Toc11113"/>
      <w:bookmarkStart w:id="180" w:name="_Toc6092"/>
      <w:bookmarkStart w:id="181" w:name="_Toc45"/>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第二节  推进农业农村现代化面临困难挑战</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bookmarkEnd w:id="181"/>
    <w:p>
      <w:pPr>
        <w:pStyle w:val="17"/>
        <w:spacing w:line="600" w:lineRule="exact"/>
        <w:ind w:firstLine="640"/>
        <w:rPr>
          <w:rFonts w:hint="eastAsia" w:ascii="仿宋_GB2312" w:hAnsi="仿宋_GB2312" w:eastAsia="仿宋_GB2312" w:cs="仿宋_GB2312"/>
          <w:color w:val="000000"/>
          <w:szCs w:val="32"/>
          <w:highlight w:val="none"/>
        </w:rPr>
      </w:pPr>
      <w:r>
        <w:rPr>
          <w:rFonts w:hint="eastAsia" w:ascii="仿宋_GB2312" w:hAnsi="仿宋_GB2312" w:eastAsia="仿宋_GB2312" w:cs="仿宋_GB2312"/>
          <w:color w:val="000000"/>
          <w:szCs w:val="22"/>
          <w:highlight w:val="none"/>
        </w:rPr>
        <w:t>“十四五”期间，农业农村现代化的内外部环境更加错综复杂。当前，百年未有之大变局深刻演化，</w:t>
      </w:r>
      <w:r>
        <w:rPr>
          <w:rFonts w:hint="eastAsia" w:ascii="仿宋_GB2312" w:hAnsi="仿宋_GB2312" w:eastAsia="仿宋_GB2312" w:cs="仿宋_GB2312"/>
          <w:color w:val="000000"/>
          <w:szCs w:val="32"/>
          <w:highlight w:val="none"/>
        </w:rPr>
        <w:t>国际贸易保护主义加剧，全球新冠肺炎疫情反复，产业链供应链循环受阻。经济下行压力加快向农业农村传导，推进农业农村现代化面临一定的困难和挑战。</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82" w:name="_Toc12855"/>
      <w:bookmarkStart w:id="183" w:name="_Toc25165"/>
      <w:bookmarkStart w:id="184" w:name="_Toc17293"/>
      <w:bookmarkStart w:id="185" w:name="_Toc7614"/>
      <w:bookmarkStart w:id="186" w:name="_Toc4901"/>
      <w:bookmarkStart w:id="187" w:name="_Toc30338"/>
      <w:bookmarkStart w:id="188" w:name="_Toc16681"/>
      <w:bookmarkStart w:id="189" w:name="_Toc3793"/>
      <w:bookmarkStart w:id="190" w:name="_Toc18061"/>
      <w:bookmarkStart w:id="191" w:name="_Toc17939"/>
      <w:bookmarkStart w:id="192" w:name="_Toc12454"/>
      <w:bookmarkStart w:id="193" w:name="_Toc24335"/>
      <w:bookmarkStart w:id="194" w:name="_Toc10942"/>
      <w:bookmarkStart w:id="195" w:name="_Toc8324"/>
      <w:bookmarkStart w:id="196" w:name="_Toc26367"/>
      <w:r>
        <w:rPr>
          <w:rFonts w:hint="eastAsia" w:ascii="黑体" w:hAnsi="黑体" w:eastAsia="黑体" w:cs="黑体"/>
          <w:b w:val="0"/>
          <w:bCs w:val="0"/>
          <w:highlight w:val="none"/>
        </w:rPr>
        <w:t>一、农业高质量发展还存在短板</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17"/>
        <w:spacing w:line="600" w:lineRule="exact"/>
        <w:ind w:firstLine="643"/>
        <w:rPr>
          <w:rFonts w:hint="eastAsia" w:ascii="仿宋_GB2312" w:hAnsi="仿宋_GB2312" w:eastAsia="仿宋_GB2312" w:cs="仿宋_GB2312"/>
          <w:szCs w:val="32"/>
          <w:highlight w:val="none"/>
        </w:rPr>
      </w:pPr>
      <w:r>
        <w:rPr>
          <w:rFonts w:hint="eastAsia" w:ascii="仿宋_GB2312" w:hAnsi="仿宋_GB2312" w:eastAsia="仿宋_GB2312" w:cs="仿宋_GB2312"/>
          <w:b/>
          <w:bCs/>
          <w:szCs w:val="32"/>
          <w:highlight w:val="none"/>
        </w:rPr>
        <w:t>产业链条相对较短。</w:t>
      </w:r>
      <w:r>
        <w:rPr>
          <w:rFonts w:hint="eastAsia" w:ascii="仿宋_GB2312" w:hAnsi="仿宋_GB2312" w:eastAsia="仿宋_GB2312" w:cs="仿宋_GB2312"/>
          <w:szCs w:val="32"/>
          <w:highlight w:val="none"/>
        </w:rPr>
        <w:t>农产品精深加工能力较弱，产品附加值不高，副产物综合利用率低。农村三产的融合程度仍较低，休闲农业和乡村旅游还处于中低端水平，乡村休闲旅游缺乏对地方资源禀赋和文化内涵的深度挖掘，荔枝、龙眼、水产等特色农业资源优势尚未充分发挥。</w:t>
      </w:r>
      <w:r>
        <w:rPr>
          <w:rFonts w:hint="eastAsia" w:ascii="仿宋_GB2312" w:hAnsi="仿宋_GB2312" w:eastAsia="仿宋_GB2312" w:cs="仿宋_GB2312"/>
          <w:b/>
          <w:bCs/>
          <w:szCs w:val="32"/>
          <w:highlight w:val="none"/>
        </w:rPr>
        <w:t>重点农业龙头企业竞争力不强。</w:t>
      </w:r>
      <w:r>
        <w:rPr>
          <w:rFonts w:hint="eastAsia" w:ascii="仿宋_GB2312" w:hAnsi="仿宋_GB2312" w:eastAsia="仿宋_GB2312" w:cs="仿宋_GB2312"/>
          <w:szCs w:val="32"/>
          <w:highlight w:val="none"/>
        </w:rPr>
        <w:t>市级以上重点农业龙头企业168家，数量虽然在全省处于前列，但企业研发投入低，科技创新能力不足，普遍存在产业链短小、产品附加值低的问题，企业核心竞争力和市场占有份额不高。</w:t>
      </w:r>
      <w:bookmarkStart w:id="197" w:name="_Toc47714182"/>
      <w:bookmarkStart w:id="198" w:name="_Toc24952"/>
      <w:bookmarkStart w:id="199" w:name="_Toc4450"/>
      <w:bookmarkStart w:id="200" w:name="_Toc29920"/>
      <w:r>
        <w:rPr>
          <w:rFonts w:hint="eastAsia" w:ascii="仿宋_GB2312" w:hAnsi="仿宋_GB2312" w:eastAsia="仿宋_GB2312" w:cs="仿宋_GB2312"/>
          <w:b/>
          <w:bCs/>
          <w:szCs w:val="32"/>
          <w:highlight w:val="none"/>
        </w:rPr>
        <w:t>经营方式和社会化服务相对落后</w:t>
      </w:r>
      <w:bookmarkEnd w:id="197"/>
      <w:bookmarkEnd w:id="198"/>
      <w:bookmarkEnd w:id="199"/>
      <w:bookmarkEnd w:id="200"/>
      <w:r>
        <w:rPr>
          <w:rFonts w:hint="eastAsia" w:ascii="仿宋_GB2312" w:hAnsi="仿宋_GB2312" w:eastAsia="仿宋_GB2312" w:cs="仿宋_GB2312"/>
          <w:b/>
          <w:bCs/>
          <w:szCs w:val="32"/>
          <w:highlight w:val="none"/>
        </w:rPr>
        <w:t>。</w:t>
      </w:r>
      <w:r>
        <w:rPr>
          <w:rFonts w:hint="eastAsia" w:ascii="仿宋_GB2312" w:hAnsi="仿宋_GB2312" w:eastAsia="仿宋_GB2312" w:cs="仿宋_GB2312"/>
          <w:szCs w:val="32"/>
          <w:highlight w:val="none"/>
        </w:rPr>
        <w:t>家庭承包耕地流转占家庭承包土地面积的40.16%，流转率偏低。社会化服务相对落后，全市农林牧渔服务业产值仅占农林牧渔总产值的1.2%左右，低于全国3.6%的平均水平，与其它农业强市相比差距更大。</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201" w:name="_Toc32094"/>
      <w:bookmarkStart w:id="202" w:name="_Toc24946"/>
      <w:bookmarkStart w:id="203" w:name="_Toc23939"/>
      <w:bookmarkStart w:id="204" w:name="_Toc25090"/>
      <w:bookmarkStart w:id="205" w:name="_Toc9987"/>
      <w:bookmarkStart w:id="206" w:name="_Toc16543"/>
      <w:bookmarkStart w:id="207" w:name="_Toc31664"/>
      <w:bookmarkStart w:id="208" w:name="_Toc2520"/>
      <w:bookmarkStart w:id="209" w:name="_Toc30053"/>
      <w:bookmarkStart w:id="210" w:name="_Toc16178"/>
      <w:bookmarkStart w:id="211" w:name="_Toc2694"/>
      <w:bookmarkStart w:id="212" w:name="_Toc10569"/>
      <w:bookmarkStart w:id="213" w:name="_Toc8359"/>
      <w:bookmarkStart w:id="214" w:name="_Toc855"/>
      <w:bookmarkStart w:id="215" w:name="_Toc18464"/>
      <w:r>
        <w:rPr>
          <w:rFonts w:hint="eastAsia" w:ascii="黑体" w:hAnsi="黑体" w:eastAsia="黑体" w:cs="黑体"/>
          <w:b w:val="0"/>
          <w:bCs w:val="0"/>
          <w:highlight w:val="none"/>
        </w:rPr>
        <w:t>二、人才约束下农村可持续发展能力弱</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17"/>
        <w:spacing w:line="60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珠三角对茂名市人才的虹吸效应明显，茂名市是全省人口净流出大市。农村青壮年劳动力外出务工比例较高，且随着全市农业产业化、规模化的持续推进，农村劳动力数量和质量与农业农村现代化发展需求愈发不相适应，农村人才成为制约茂名市乡村振兴的主要瓶颈。基层农业科技、技术推广、综合执法、公共服务人才队伍力量薄弱，直接服务、指导农业农村发展的人员不足，且青年科技人员比例相对较低。村干部年龄老化严重，在乡村治理中缺少乡贤和乡村精英的参与，乡村治理后继乏人，无法形成人才梯队，</w:t>
      </w:r>
      <w:r>
        <w:rPr>
          <w:rFonts w:hint="eastAsia" w:ascii="仿宋_GB2312" w:hAnsi="仿宋_GB2312" w:eastAsia="仿宋_GB2312" w:cs="仿宋_GB2312"/>
          <w:szCs w:val="32"/>
          <w:highlight w:val="none"/>
          <w:lang w:eastAsia="zh-Hans"/>
        </w:rPr>
        <w:t>乡村治理</w:t>
      </w:r>
      <w:r>
        <w:rPr>
          <w:rFonts w:hint="eastAsia" w:ascii="仿宋_GB2312" w:hAnsi="仿宋_GB2312" w:eastAsia="仿宋_GB2312" w:cs="仿宋_GB2312"/>
          <w:szCs w:val="32"/>
          <w:highlight w:val="none"/>
        </w:rPr>
        <w:t>能力现代化水平不高。农村实用型人才存在明显短板，懂技术、善经营、会管理的复合型人才极度匮乏。亟需加快乡村人才队伍建设，培育各方紧缺人才。</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216" w:name="_Toc26294"/>
      <w:bookmarkStart w:id="217" w:name="_Toc20192"/>
      <w:bookmarkStart w:id="218" w:name="_Toc14258"/>
      <w:bookmarkStart w:id="219" w:name="_Toc1511"/>
      <w:bookmarkStart w:id="220" w:name="_Toc13165"/>
      <w:bookmarkStart w:id="221" w:name="_Toc8723"/>
      <w:bookmarkStart w:id="222" w:name="_Toc8317"/>
      <w:bookmarkStart w:id="223" w:name="_Toc20969"/>
      <w:bookmarkStart w:id="224" w:name="_Toc27443"/>
      <w:bookmarkStart w:id="225" w:name="_Toc24188"/>
      <w:bookmarkStart w:id="226" w:name="_Toc22818"/>
      <w:bookmarkStart w:id="227" w:name="_Toc26575"/>
      <w:bookmarkStart w:id="228" w:name="_Toc3473"/>
      <w:bookmarkStart w:id="229" w:name="_Toc17185"/>
      <w:bookmarkStart w:id="230" w:name="_Toc4136"/>
      <w:r>
        <w:rPr>
          <w:rFonts w:hint="eastAsia" w:ascii="黑体" w:hAnsi="黑体" w:eastAsia="黑体" w:cs="黑体"/>
          <w:b w:val="0"/>
          <w:bCs w:val="0"/>
          <w:highlight w:val="none"/>
        </w:rPr>
        <w:t>三、城乡融合发展任务仍然艰巨</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17"/>
        <w:spacing w:line="60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城乡、区域发展不平衡不充分是广东省最大的短板，城乡要素流动不顺畅、公共资源配置不合理等问题依然突出，茂名也不例外。主要体现在城市带动力不强、农业农村发展相对滞后、农村公共服务均等化程度偏低。2020年茂名市常住人口城镇化率为43.56%，比全省平均水平低30.59个百分点，比全国平均水平低20.33个百分点。破解城乡二元结构、促进城乡一体化发展是茂名农业农村现代化的必由之路。迫切需要全面深化农村综合改革，破除制约城乡融合发展的体制机制障碍，激活城乡融合发展要素、主体、市场，建立城乡融合发展体制机制和政策体系，打通城乡要素自由流动制度性通道，使短板变潜力板。</w:t>
      </w:r>
    </w:p>
    <w:p>
      <w:pPr>
        <w:pStyle w:val="6"/>
        <w:spacing w:before="0" w:beforeLines="0" w:after="0" w:afterLines="0" w:line="600" w:lineRule="exact"/>
        <w:ind w:firstLine="642" w:firstLineChars="0"/>
        <w:rPr>
          <w:rFonts w:hint="eastAsia" w:ascii="黑体" w:hAnsi="黑体" w:eastAsia="黑体" w:cs="黑体"/>
          <w:b w:val="0"/>
          <w:bCs w:val="0"/>
          <w:highlight w:val="none"/>
        </w:rPr>
      </w:pPr>
      <w:bookmarkStart w:id="231" w:name="_Toc17274"/>
      <w:bookmarkStart w:id="232" w:name="_Toc1448"/>
      <w:bookmarkStart w:id="233" w:name="_Toc29359"/>
      <w:bookmarkStart w:id="234" w:name="_Toc703"/>
      <w:bookmarkStart w:id="235" w:name="_Toc29905"/>
      <w:bookmarkStart w:id="236" w:name="_Toc29876"/>
      <w:bookmarkStart w:id="237" w:name="_Toc28341"/>
      <w:bookmarkStart w:id="238" w:name="_Toc32016"/>
      <w:bookmarkStart w:id="239" w:name="_Toc19703"/>
      <w:bookmarkStart w:id="240" w:name="_Toc5343"/>
      <w:bookmarkStart w:id="241" w:name="_Toc6530"/>
      <w:bookmarkStart w:id="242" w:name="_Toc27216"/>
      <w:bookmarkStart w:id="243" w:name="_Toc8709"/>
      <w:bookmarkStart w:id="244" w:name="_Toc15440"/>
      <w:bookmarkStart w:id="245" w:name="_Toc17637"/>
      <w:r>
        <w:rPr>
          <w:rFonts w:hint="eastAsia" w:ascii="黑体" w:hAnsi="黑体" w:eastAsia="黑体" w:cs="黑体"/>
          <w:b w:val="0"/>
          <w:bCs w:val="0"/>
          <w:highlight w:val="none"/>
        </w:rPr>
        <w:t>四、农民持续增收压力增大</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17"/>
        <w:spacing w:line="60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eastAsia="zh-Hans"/>
        </w:rPr>
        <w:t>农民增收关系农村社会稳定和乡村全面振兴，也是农业农村现代化的重要体现。农民增收长效机制尚未建立，支撑农民增收的传统动能在逐渐减弱，农民持续增收的动能不足。</w:t>
      </w:r>
      <w:r>
        <w:rPr>
          <w:rFonts w:hint="eastAsia" w:ascii="仿宋_GB2312" w:hAnsi="仿宋_GB2312" w:eastAsia="仿宋_GB2312" w:cs="仿宋_GB2312"/>
          <w:szCs w:val="32"/>
          <w:highlight w:val="none"/>
        </w:rPr>
        <w:t>茂名市</w:t>
      </w:r>
      <w:r>
        <w:rPr>
          <w:rFonts w:hint="eastAsia" w:ascii="仿宋_GB2312" w:hAnsi="仿宋_GB2312" w:eastAsia="仿宋_GB2312" w:cs="仿宋_GB2312"/>
          <w:szCs w:val="32"/>
          <w:highlight w:val="none"/>
          <w:lang w:eastAsia="zh-Hans"/>
        </w:rPr>
        <w:t>农村常住居民收入主要来自工资性收入和转移净收入，</w:t>
      </w:r>
      <w:r>
        <w:rPr>
          <w:rFonts w:hint="eastAsia" w:ascii="仿宋_GB2312" w:hAnsi="仿宋_GB2312" w:eastAsia="仿宋_GB2312" w:cs="仿宋_GB2312"/>
          <w:szCs w:val="32"/>
          <w:highlight w:val="none"/>
        </w:rPr>
        <w:t>经营净收入和财产净收入相对薄弱。2020年茂名市</w:t>
      </w:r>
      <w:r>
        <w:rPr>
          <w:rFonts w:hint="eastAsia" w:ascii="仿宋_GB2312" w:hAnsi="仿宋_GB2312" w:eastAsia="仿宋_GB2312" w:cs="仿宋_GB2312"/>
          <w:szCs w:val="32"/>
          <w:highlight w:val="none"/>
          <w:lang w:eastAsia="zh-Hans"/>
        </w:rPr>
        <w:t>农村常住居民</w:t>
      </w:r>
      <w:r>
        <w:rPr>
          <w:rFonts w:hint="eastAsia" w:ascii="仿宋_GB2312" w:hAnsi="仿宋_GB2312" w:eastAsia="仿宋_GB2312" w:cs="仿宋_GB2312"/>
          <w:szCs w:val="32"/>
          <w:highlight w:val="none"/>
        </w:rPr>
        <w:t>工资性收入占比为43.69%，与2015年相比降低约1个百分点，与全省相比低9个百分点。</w:t>
      </w:r>
      <w:r>
        <w:rPr>
          <w:rFonts w:hint="eastAsia" w:ascii="仿宋_GB2312" w:hAnsi="仿宋_GB2312" w:eastAsia="仿宋_GB2312" w:cs="仿宋_GB2312"/>
          <w:szCs w:val="32"/>
          <w:highlight w:val="none"/>
          <w:lang w:eastAsia="zh-Hans"/>
        </w:rPr>
        <w:t>经营净收入</w:t>
      </w:r>
      <w:r>
        <w:rPr>
          <w:rFonts w:hint="eastAsia" w:ascii="仿宋_GB2312" w:hAnsi="仿宋_GB2312" w:eastAsia="仿宋_GB2312" w:cs="仿宋_GB2312"/>
          <w:szCs w:val="32"/>
          <w:highlight w:val="none"/>
        </w:rPr>
        <w:t>占比为11.75%，与2015年相比增加1.24个百分点，但比全省平均水平低11.01个百分点。</w:t>
      </w:r>
      <w:r>
        <w:rPr>
          <w:rFonts w:hint="eastAsia" w:ascii="仿宋_GB2312" w:hAnsi="仿宋_GB2312" w:eastAsia="仿宋_GB2312" w:cs="仿宋_GB2312"/>
          <w:szCs w:val="32"/>
          <w:highlight w:val="none"/>
          <w:lang w:eastAsia="zh-Hans"/>
        </w:rPr>
        <w:t>当前国际环境不稳定性不确定性明显增加，国内经济下行压力仍存，迫切需要</w:t>
      </w:r>
      <w:r>
        <w:rPr>
          <w:rFonts w:hint="eastAsia" w:ascii="仿宋_GB2312" w:hAnsi="仿宋_GB2312" w:eastAsia="仿宋_GB2312" w:cs="仿宋_GB2312"/>
          <w:szCs w:val="32"/>
          <w:highlight w:val="none"/>
        </w:rPr>
        <w:t>延伸</w:t>
      </w:r>
      <w:r>
        <w:rPr>
          <w:rFonts w:hint="eastAsia" w:ascii="仿宋_GB2312" w:hAnsi="仿宋_GB2312" w:eastAsia="仿宋_GB2312" w:cs="仿宋_GB2312"/>
          <w:szCs w:val="32"/>
          <w:highlight w:val="none"/>
          <w:lang w:eastAsia="zh-Hans"/>
        </w:rPr>
        <w:t>农业产业链</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深化农村综合改革</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完善保障制度</w:t>
      </w:r>
      <w:r>
        <w:rPr>
          <w:rFonts w:hint="eastAsia" w:ascii="仿宋_GB2312" w:hAnsi="仿宋_GB2312" w:eastAsia="仿宋_GB2312" w:cs="仿宋_GB2312"/>
          <w:szCs w:val="32"/>
          <w:highlight w:val="none"/>
        </w:rPr>
        <w:t>，提高农业产业化经营效率，拓宽农民财产性收入来源，着力提升经营性收入和</w:t>
      </w:r>
      <w:r>
        <w:rPr>
          <w:rFonts w:hint="eastAsia" w:ascii="仿宋_GB2312" w:hAnsi="仿宋_GB2312" w:eastAsia="仿宋_GB2312" w:cs="仿宋_GB2312"/>
          <w:szCs w:val="32"/>
          <w:highlight w:val="none"/>
          <w:lang w:eastAsia="zh-Hans"/>
        </w:rPr>
        <w:t>财产</w:t>
      </w:r>
      <w:r>
        <w:rPr>
          <w:rFonts w:hint="eastAsia" w:ascii="仿宋_GB2312" w:hAnsi="仿宋_GB2312" w:eastAsia="仿宋_GB2312" w:cs="仿宋_GB2312"/>
          <w:szCs w:val="32"/>
          <w:highlight w:val="none"/>
        </w:rPr>
        <w:t>性</w:t>
      </w:r>
      <w:r>
        <w:rPr>
          <w:rFonts w:hint="eastAsia" w:ascii="仿宋_GB2312" w:hAnsi="仿宋_GB2312" w:eastAsia="仿宋_GB2312" w:cs="仿宋_GB2312"/>
          <w:szCs w:val="32"/>
          <w:highlight w:val="none"/>
          <w:lang w:eastAsia="zh-Hans"/>
        </w:rPr>
        <w:t>收入</w:t>
      </w:r>
      <w:r>
        <w:rPr>
          <w:rFonts w:hint="eastAsia" w:ascii="仿宋_GB2312" w:hAnsi="仿宋_GB2312" w:eastAsia="仿宋_GB2312" w:cs="仿宋_GB2312"/>
          <w:szCs w:val="32"/>
          <w:highlight w:val="none"/>
        </w:rPr>
        <w:t>，实现农民收入持续增长。</w:t>
      </w:r>
    </w:p>
    <w:p>
      <w:pPr>
        <w:pStyle w:val="5"/>
        <w:spacing w:before="0" w:beforeLines="0" w:after="0" w:afterLines="0" w:line="600" w:lineRule="exact"/>
        <w:jc w:val="center"/>
        <w:rPr>
          <w:rFonts w:ascii="Times New Roman" w:hAnsi="Times New Roman" w:eastAsia="黑体"/>
          <w:b w:val="0"/>
          <w:bCs w:val="0"/>
          <w:sz w:val="32"/>
          <w:highlight w:val="none"/>
        </w:rPr>
      </w:pPr>
      <w:bookmarkStart w:id="246" w:name="_Toc46384821"/>
      <w:bookmarkStart w:id="247" w:name="_Toc30599"/>
      <w:bookmarkStart w:id="248" w:name="_Toc11333"/>
      <w:bookmarkStart w:id="249" w:name="_Toc10575"/>
      <w:bookmarkStart w:id="250" w:name="_Toc776"/>
      <w:bookmarkStart w:id="251" w:name="_Toc16347"/>
      <w:bookmarkStart w:id="252" w:name="_Toc8210"/>
      <w:bookmarkStart w:id="253" w:name="_Toc8862"/>
      <w:bookmarkStart w:id="254" w:name="_Toc12810"/>
      <w:bookmarkStart w:id="255" w:name="_Toc32556"/>
      <w:bookmarkStart w:id="256" w:name="_Toc2264"/>
      <w:bookmarkStart w:id="257" w:name="_Toc23399"/>
      <w:bookmarkStart w:id="258" w:name="_Toc14203"/>
      <w:bookmarkStart w:id="259" w:name="_Toc700"/>
      <w:bookmarkStart w:id="260" w:name="_Toc12426"/>
      <w:bookmarkStart w:id="261" w:name="_Toc19263"/>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第三节  推进农业农村现代化</w:t>
      </w:r>
      <w:bookmarkEnd w:id="246"/>
      <w:bookmarkEnd w:id="247"/>
      <w:r>
        <w:rPr>
          <w:rFonts w:ascii="Times New Roman" w:hAnsi="Times New Roman" w:eastAsia="黑体"/>
          <w:b w:val="0"/>
          <w:bCs w:val="0"/>
          <w:sz w:val="32"/>
          <w:highlight w:val="none"/>
        </w:rPr>
        <w:t>的战略机遇</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17"/>
        <w:spacing w:line="60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充分把握当前我国农业农村优先发展、实施乡村振兴战略的政策机遇，抢抓当前</w:t>
      </w:r>
      <w:r>
        <w:rPr>
          <w:rFonts w:hint="eastAsia" w:ascii="仿宋_GB2312" w:hAnsi="仿宋_GB2312" w:eastAsia="仿宋_GB2312" w:cs="仿宋_GB2312"/>
          <w:szCs w:val="22"/>
          <w:highlight w:val="none"/>
        </w:rPr>
        <w:t>我国构建“双循环”的重大历史机遇，抓住广东省“双区”建设的重大战略机遇，在全省“一核一带一区”发展格局中乘势推进农业农村现代化，找准农业农村发展的战略定位，高标准谋划推进“十四五”期间“三农”工</w:t>
      </w:r>
      <w:r>
        <w:rPr>
          <w:rFonts w:hint="eastAsia" w:ascii="仿宋_GB2312" w:hAnsi="仿宋_GB2312" w:eastAsia="仿宋_GB2312" w:cs="仿宋_GB2312"/>
          <w:szCs w:val="32"/>
          <w:highlight w:val="none"/>
        </w:rPr>
        <w:t>作，为推进农业农村现代化定方向、定格局。</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262" w:name="_Toc24295"/>
      <w:bookmarkStart w:id="263" w:name="_Toc29996"/>
      <w:bookmarkStart w:id="264" w:name="_Toc27799"/>
      <w:bookmarkStart w:id="265" w:name="_Toc23706"/>
      <w:bookmarkStart w:id="266" w:name="_Toc29781"/>
      <w:bookmarkStart w:id="267" w:name="_Toc21136"/>
      <w:bookmarkStart w:id="268" w:name="_Toc18388"/>
      <w:bookmarkStart w:id="269" w:name="_Toc5188"/>
      <w:bookmarkStart w:id="270" w:name="_Toc8974"/>
      <w:bookmarkStart w:id="271" w:name="_Toc22725"/>
      <w:bookmarkStart w:id="272" w:name="_Toc9111"/>
      <w:bookmarkStart w:id="273" w:name="_Toc4500"/>
      <w:bookmarkStart w:id="274" w:name="_Toc14615"/>
      <w:bookmarkStart w:id="275" w:name="_Toc19912"/>
      <w:bookmarkStart w:id="276" w:name="_Toc7719"/>
      <w:r>
        <w:rPr>
          <w:rFonts w:hint="eastAsia" w:ascii="黑体" w:hAnsi="黑体" w:eastAsia="黑体" w:cs="黑体"/>
          <w:b w:val="0"/>
          <w:bCs w:val="0"/>
          <w:highlight w:val="none"/>
        </w:rPr>
        <w:t>一、把握优先发展的政策机遇</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17"/>
        <w:spacing w:line="60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党的十九大报告提出实施乡村振兴战略，并明确提出要坚持农业农村优先发展，将“三农”工作摆在前所未有的新高度。这个重大部署安排指明了未来一个时期我国经济社会发展的优先序，农业农村发展迎来前所未有的新机遇。“十四五”时期是实施乡村振兴战略“五年见到显著成效”的关键期，“十年实现根本改变”的发力期，清醒认识并牢牢把握农业农村优先发展的战略机遇期，推动农业高质量发展、农民全面进步和乡村全面振兴，基本实现农业农村现代化。</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277" w:name="_Toc31745"/>
      <w:bookmarkStart w:id="278" w:name="_Toc16627"/>
      <w:bookmarkStart w:id="279" w:name="_Toc24473"/>
      <w:bookmarkStart w:id="280" w:name="_Toc10462"/>
      <w:bookmarkStart w:id="281" w:name="_Toc11695"/>
      <w:bookmarkStart w:id="282" w:name="_Toc32736"/>
      <w:bookmarkStart w:id="283" w:name="_Toc17330"/>
      <w:bookmarkStart w:id="284" w:name="_Toc17639"/>
      <w:bookmarkStart w:id="285" w:name="_Toc10934"/>
      <w:bookmarkStart w:id="286" w:name="_Toc2430"/>
      <w:bookmarkStart w:id="287" w:name="_Toc3490"/>
      <w:bookmarkStart w:id="288" w:name="_Toc29516"/>
      <w:bookmarkStart w:id="289" w:name="_Toc133"/>
      <w:bookmarkStart w:id="290" w:name="_Toc24822"/>
      <w:bookmarkStart w:id="291" w:name="_Toc5741"/>
      <w:r>
        <w:rPr>
          <w:rFonts w:hint="eastAsia" w:ascii="黑体" w:hAnsi="黑体" w:eastAsia="黑体" w:cs="黑体"/>
          <w:b w:val="0"/>
          <w:bCs w:val="0"/>
          <w:highlight w:val="none"/>
        </w:rPr>
        <w:t>二、抢抓我国构建“双循环”的历史机遇</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17"/>
        <w:spacing w:line="600" w:lineRule="exact"/>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面对世界百年未有之大变局与国内经济呈现出的深层次矛盾和问题，党中央、国务院高瞻远瞩、审时度势，决定要以科技创新、深化改革、高水平对外开放和社会发展新格局为四个抓手，加快形成以国内大循环为主体、国内国际双循环相互促进的新发展格局。新形势下，农业农村具有广阔的市场和巨大消费潜力，构成了国民经济内循环的重要组成部分，也是我国内循环战略成败的关键。“十三五”期间全国农村居民收入保持稳定增长，城乡收入差距逐渐缩小。“十四五”期间，</w:t>
      </w:r>
      <w:r>
        <w:rPr>
          <w:rFonts w:hint="eastAsia" w:ascii="仿宋_GB2312" w:hAnsi="仿宋_GB2312" w:eastAsia="仿宋_GB2312" w:cs="仿宋_GB2312"/>
          <w:szCs w:val="32"/>
          <w:highlight w:val="none"/>
          <w:lang w:eastAsia="zh-Hans"/>
        </w:rPr>
        <w:t>将构建</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双循环</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新发展格局与抓住RCEP机遇有机结合，加快农业供给侧结构性改革，激活农村消费活力，推动茂名市</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米袋子</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菜篮子</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果盘子</w:t>
      </w:r>
      <w:r>
        <w:rPr>
          <w:rFonts w:hint="eastAsia" w:ascii="仿宋_GB2312" w:hAnsi="仿宋_GB2312" w:eastAsia="仿宋_GB2312" w:cs="仿宋_GB2312"/>
          <w:szCs w:val="32"/>
          <w:highlight w:val="none"/>
        </w:rPr>
        <w:t>”“茶罐子”“</w:t>
      </w:r>
      <w:r>
        <w:rPr>
          <w:rFonts w:hint="eastAsia" w:ascii="仿宋_GB2312" w:hAnsi="仿宋_GB2312" w:eastAsia="仿宋_GB2312" w:cs="仿宋_GB2312"/>
          <w:szCs w:val="32"/>
          <w:highlight w:val="none"/>
          <w:lang w:eastAsia="zh-Hans"/>
        </w:rPr>
        <w:t>药箱子</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后花园</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立足粤港澳、走向全国、走向海外</w:t>
      </w:r>
      <w:r>
        <w:rPr>
          <w:rFonts w:hint="eastAsia" w:ascii="仿宋_GB2312" w:hAnsi="仿宋_GB2312" w:eastAsia="仿宋_GB2312" w:cs="仿宋_GB2312"/>
          <w:szCs w:val="32"/>
          <w:highlight w:val="none"/>
        </w:rPr>
        <w:t>，实现农业农村高质量发展。</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292" w:name="_Toc17724"/>
      <w:bookmarkStart w:id="293" w:name="_Toc11663"/>
      <w:bookmarkStart w:id="294" w:name="_Toc11875"/>
      <w:bookmarkStart w:id="295" w:name="_Toc10893"/>
      <w:bookmarkStart w:id="296" w:name="_Toc13169"/>
      <w:bookmarkStart w:id="297" w:name="_Toc29467"/>
      <w:bookmarkStart w:id="298" w:name="_Toc19175"/>
      <w:bookmarkStart w:id="299" w:name="_Toc19662"/>
      <w:bookmarkStart w:id="300" w:name="_Toc10338"/>
      <w:bookmarkStart w:id="301" w:name="_Toc22267"/>
      <w:bookmarkStart w:id="302" w:name="_Toc8459"/>
      <w:bookmarkStart w:id="303" w:name="_Toc14926"/>
      <w:bookmarkStart w:id="304" w:name="_Toc4422"/>
      <w:bookmarkStart w:id="305" w:name="_Toc16728"/>
      <w:bookmarkStart w:id="306" w:name="_Toc4714"/>
      <w:r>
        <w:rPr>
          <w:rFonts w:hint="eastAsia" w:ascii="黑体" w:hAnsi="黑体" w:eastAsia="黑体" w:cs="黑体"/>
          <w:b w:val="0"/>
          <w:bCs w:val="0"/>
          <w:highlight w:val="none"/>
        </w:rPr>
        <w:t>三、抓牢“融区强带”的战略机遇</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17"/>
        <w:spacing w:line="600" w:lineRule="exact"/>
        <w:ind w:firstLine="640"/>
        <w:rPr>
          <w:rFonts w:hint="eastAsia" w:ascii="仿宋" w:hAnsi="仿宋" w:eastAsia="仿宋" w:cs="仿宋"/>
          <w:szCs w:val="22"/>
          <w:highlight w:val="none"/>
        </w:rPr>
      </w:pPr>
      <w:r>
        <w:rPr>
          <w:rFonts w:hint="eastAsia" w:ascii="仿宋_GB2312" w:hAnsi="仿宋_GB2312" w:eastAsia="仿宋_GB2312" w:cs="仿宋_GB2312"/>
          <w:szCs w:val="32"/>
          <w:highlight w:val="none"/>
          <w:lang w:eastAsia="zh-Hans"/>
        </w:rPr>
        <w:t>当前，</w:t>
      </w:r>
      <w:r>
        <w:rPr>
          <w:rFonts w:hint="eastAsia" w:ascii="仿宋_GB2312" w:hAnsi="仿宋_GB2312" w:eastAsia="仿宋_GB2312" w:cs="仿宋_GB2312"/>
          <w:szCs w:val="32"/>
          <w:highlight w:val="none"/>
        </w:rPr>
        <w:t>广东</w:t>
      </w:r>
      <w:r>
        <w:rPr>
          <w:rFonts w:hint="eastAsia" w:ascii="仿宋_GB2312" w:hAnsi="仿宋_GB2312" w:eastAsia="仿宋_GB2312" w:cs="仿宋_GB2312"/>
          <w:szCs w:val="32"/>
          <w:highlight w:val="none"/>
          <w:lang w:eastAsia="zh-Hans"/>
        </w:rPr>
        <w:t>省正在推进粤港澳大湾区、深圳中国特色社会主义先行示范区</w:t>
      </w:r>
      <w:r>
        <w:rPr>
          <w:rFonts w:hint="eastAsia" w:ascii="仿宋_GB2312" w:hAnsi="仿宋_GB2312" w:eastAsia="仿宋_GB2312" w:cs="仿宋_GB2312"/>
          <w:szCs w:val="32"/>
          <w:highlight w:val="none"/>
        </w:rPr>
        <w:t>“双</w:t>
      </w:r>
      <w:r>
        <w:rPr>
          <w:rFonts w:hint="eastAsia" w:ascii="仿宋_GB2312" w:hAnsi="仿宋_GB2312" w:eastAsia="仿宋_GB2312" w:cs="仿宋_GB2312"/>
          <w:szCs w:val="32"/>
          <w:highlight w:val="none"/>
          <w:lang w:eastAsia="zh-Hans"/>
        </w:rPr>
        <w:t>区</w:t>
      </w:r>
      <w:r>
        <w:rPr>
          <w:rFonts w:hint="eastAsia" w:ascii="仿宋_GB2312" w:hAnsi="仿宋_GB2312" w:eastAsia="仿宋_GB2312" w:cs="仿宋_GB2312"/>
          <w:szCs w:val="32"/>
          <w:highlight w:val="none"/>
        </w:rPr>
        <w:t>”和横琴、前海两个合作区</w:t>
      </w:r>
      <w:r>
        <w:rPr>
          <w:rFonts w:hint="eastAsia" w:ascii="仿宋_GB2312" w:hAnsi="仿宋_GB2312" w:eastAsia="仿宋_GB2312" w:cs="仿宋_GB2312"/>
          <w:szCs w:val="32"/>
          <w:highlight w:val="none"/>
          <w:lang w:eastAsia="zh-Hans"/>
        </w:rPr>
        <w:t>建设。</w:t>
      </w:r>
      <w:r>
        <w:rPr>
          <w:rFonts w:hint="eastAsia" w:ascii="仿宋_GB2312" w:hAnsi="仿宋_GB2312" w:eastAsia="仿宋_GB2312" w:cs="仿宋_GB2312"/>
          <w:color w:val="auto"/>
          <w:szCs w:val="32"/>
          <w:highlight w:val="none"/>
        </w:rPr>
        <w:t>2020</w:t>
      </w:r>
      <w:r>
        <w:rPr>
          <w:rFonts w:hint="eastAsia" w:ascii="仿宋_GB2312" w:hAnsi="仿宋_GB2312" w:eastAsia="仿宋_GB2312" w:cs="仿宋_GB2312"/>
          <w:color w:val="auto"/>
          <w:szCs w:val="22"/>
          <w:highlight w:val="none"/>
        </w:rPr>
        <w:t>年</w:t>
      </w:r>
      <w:r>
        <w:rPr>
          <w:rFonts w:hint="eastAsia" w:ascii="仿宋_GB2312" w:hAnsi="仿宋_GB2312" w:eastAsia="仿宋_GB2312" w:cs="仿宋_GB2312"/>
          <w:szCs w:val="22"/>
          <w:highlight w:val="none"/>
        </w:rPr>
        <w:t>“双区”</w:t>
      </w:r>
      <w:r>
        <w:rPr>
          <w:rFonts w:hint="eastAsia" w:ascii="仿宋_GB2312" w:hAnsi="仿宋_GB2312" w:eastAsia="仿宋_GB2312" w:cs="仿宋_GB2312"/>
          <w:color w:val="auto"/>
          <w:szCs w:val="32"/>
          <w:highlight w:val="none"/>
          <w:lang w:eastAsia="zh-Hans"/>
        </w:rPr>
        <w:t>人口总量已达8584.9万人</w:t>
      </w:r>
      <w:r>
        <w:rPr>
          <w:rFonts w:hint="eastAsia" w:ascii="仿宋_GB2312" w:hAnsi="仿宋_GB2312" w:eastAsia="仿宋_GB2312" w:cs="仿宋_GB2312"/>
          <w:szCs w:val="32"/>
          <w:highlight w:val="none"/>
          <w:lang w:eastAsia="zh-Hans"/>
        </w:rPr>
        <w:t>，城镇化率87.9%，</w:t>
      </w:r>
      <w:bookmarkStart w:id="307" w:name="OLE_LINK2"/>
      <w:bookmarkStart w:id="308" w:name="OLE_LINK1"/>
      <w:r>
        <w:rPr>
          <w:rFonts w:hint="eastAsia" w:ascii="仿宋_GB2312" w:hAnsi="仿宋_GB2312" w:eastAsia="仿宋_GB2312" w:cs="仿宋_GB2312"/>
          <w:szCs w:val="32"/>
          <w:highlight w:val="none"/>
          <w:lang w:eastAsia="zh-Hans"/>
        </w:rPr>
        <w:t>人均可支配收入69024元</w:t>
      </w:r>
      <w:bookmarkEnd w:id="307"/>
      <w:bookmarkEnd w:id="308"/>
      <w:r>
        <w:rPr>
          <w:rFonts w:hint="eastAsia" w:ascii="仿宋_GB2312" w:hAnsi="仿宋_GB2312" w:eastAsia="仿宋_GB2312" w:cs="仿宋_GB2312"/>
          <w:szCs w:val="32"/>
          <w:highlight w:val="none"/>
          <w:lang w:eastAsia="zh-Hans"/>
        </w:rPr>
        <w:t>，具有强大的辐射驱动效应以及庞大</w:t>
      </w:r>
      <w:r>
        <w:rPr>
          <w:rFonts w:hint="eastAsia" w:ascii="仿宋_GB2312" w:hAnsi="仿宋_GB2312" w:eastAsia="仿宋_GB2312" w:cs="仿宋_GB2312"/>
          <w:szCs w:val="32"/>
          <w:highlight w:val="none"/>
        </w:rPr>
        <w:t>的</w:t>
      </w:r>
      <w:r>
        <w:rPr>
          <w:rFonts w:hint="eastAsia" w:ascii="仿宋_GB2312" w:hAnsi="仿宋_GB2312" w:eastAsia="仿宋_GB2312" w:cs="仿宋_GB2312"/>
          <w:szCs w:val="32"/>
          <w:highlight w:val="none"/>
          <w:lang w:eastAsia="zh-Hans"/>
        </w:rPr>
        <w:t>高端消费市场。</w:t>
      </w:r>
      <w:r>
        <w:rPr>
          <w:rFonts w:hint="eastAsia" w:ascii="仿宋_GB2312" w:hAnsi="仿宋_GB2312" w:eastAsia="仿宋_GB2312" w:cs="仿宋_GB2312"/>
          <w:szCs w:val="32"/>
          <w:highlight w:val="none"/>
        </w:rPr>
        <w:t>茂名地处粤港澳大湾区、北部湾城市群、海南自由贸易港三大国家战略交汇处，</w:t>
      </w:r>
      <w:r>
        <w:rPr>
          <w:rFonts w:hint="eastAsia" w:ascii="仿宋_GB2312" w:hAnsi="仿宋_GB2312" w:eastAsia="仿宋_GB2312" w:cs="仿宋_GB2312"/>
          <w:szCs w:val="22"/>
          <w:highlight w:val="none"/>
        </w:rPr>
        <w:t>与“双区”城市群联系</w:t>
      </w:r>
      <w:r>
        <w:rPr>
          <w:rFonts w:hint="eastAsia" w:ascii="仿宋_GB2312" w:hAnsi="仿宋_GB2312" w:eastAsia="仿宋_GB2312" w:cs="仿宋_GB2312"/>
          <w:szCs w:val="32"/>
          <w:highlight w:val="none"/>
          <w:lang w:eastAsia="zh-Hans"/>
        </w:rPr>
        <w:t>日趋紧密。而随着</w:t>
      </w:r>
      <w:r>
        <w:rPr>
          <w:rFonts w:hint="eastAsia" w:ascii="仿宋_GB2312" w:hAnsi="仿宋_GB2312" w:eastAsia="仿宋_GB2312" w:cs="仿宋_GB2312"/>
          <w:szCs w:val="32"/>
          <w:highlight w:val="none"/>
        </w:rPr>
        <w:t>高</w:t>
      </w:r>
      <w:r>
        <w:rPr>
          <w:rFonts w:hint="eastAsia" w:ascii="仿宋_GB2312" w:hAnsi="仿宋_GB2312" w:eastAsia="仿宋_GB2312" w:cs="仿宋_GB2312"/>
          <w:szCs w:val="32"/>
          <w:highlight w:val="none"/>
          <w:lang w:eastAsia="zh-Hans"/>
        </w:rPr>
        <w:t>快速铁路、高速公路和区域路网的跨越式发展，尤其是深茂铁路江茂段开通，茂名</w:t>
      </w:r>
      <w:r>
        <w:rPr>
          <w:rFonts w:hint="eastAsia" w:ascii="仿宋_GB2312" w:hAnsi="仿宋_GB2312" w:eastAsia="仿宋_GB2312" w:cs="仿宋_GB2312"/>
          <w:szCs w:val="32"/>
          <w:highlight w:val="none"/>
        </w:rPr>
        <w:t>融</w:t>
      </w:r>
      <w:r>
        <w:rPr>
          <w:rFonts w:hint="eastAsia" w:ascii="仿宋_GB2312" w:hAnsi="仿宋_GB2312" w:eastAsia="仿宋_GB2312" w:cs="仿宋_GB2312"/>
          <w:szCs w:val="32"/>
          <w:highlight w:val="none"/>
          <w:lang w:eastAsia="zh-Hans"/>
        </w:rPr>
        <w:t>入珠三角2小时经济圈，地理区位优势进一步显现。</w:t>
      </w:r>
      <w:r>
        <w:rPr>
          <w:rFonts w:hint="eastAsia" w:ascii="仿宋_GB2312" w:hAnsi="仿宋_GB2312" w:eastAsia="仿宋_GB2312" w:cs="仿宋_GB2312"/>
          <w:szCs w:val="22"/>
          <w:highlight w:val="none"/>
        </w:rPr>
        <w:t>“双区”建设对优质农产品和农业农村多功能需求较大，在产业共建、现代农业、家政服务领域具有广阔的合作新空间。茂名与珠海、伊春等城市战略合作不断推进。同时，在“双循环”新发展格局的新形势下，国内大循环为主体的驱动作用下，“双区”市场消费潜力将进一步被激发，新型农村消费市场动力也将进一步激活。这将是茂名“融区强带”的重大机遇，为茂名市农业农村换挡升级提供强劲动力和发展空间。</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309" w:name="_Toc15906"/>
      <w:bookmarkStart w:id="310" w:name="_Toc22257"/>
      <w:bookmarkStart w:id="311" w:name="_Toc27591"/>
      <w:bookmarkStart w:id="312" w:name="_Toc12340"/>
      <w:bookmarkStart w:id="313" w:name="_Toc18306"/>
      <w:bookmarkStart w:id="314" w:name="_Toc4032"/>
      <w:bookmarkStart w:id="315" w:name="_Toc10805"/>
      <w:bookmarkStart w:id="316" w:name="_Toc14604"/>
      <w:bookmarkStart w:id="317" w:name="_Toc9095"/>
      <w:bookmarkStart w:id="318" w:name="_Toc3297"/>
      <w:bookmarkStart w:id="319" w:name="_Toc31897"/>
      <w:bookmarkStart w:id="320" w:name="_Toc1483"/>
      <w:bookmarkStart w:id="321" w:name="_Toc24057"/>
      <w:bookmarkStart w:id="322" w:name="_Toc6600"/>
      <w:bookmarkStart w:id="323" w:name="_Toc29919"/>
      <w:r>
        <w:rPr>
          <w:rFonts w:hint="eastAsia" w:ascii="黑体" w:hAnsi="黑体" w:eastAsia="黑体" w:cs="黑体"/>
          <w:b w:val="0"/>
          <w:bCs w:val="0"/>
          <w:highlight w:val="none"/>
        </w:rPr>
        <w:t>四、把握全省“一核一带一区”发展格局</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17"/>
        <w:spacing w:line="600" w:lineRule="exact"/>
        <w:ind w:firstLine="640"/>
        <w:rPr>
          <w:rFonts w:hint="eastAsia" w:ascii="仿宋_GB2312" w:hAnsi="仿宋_GB2312" w:eastAsia="仿宋_GB2312" w:cs="仿宋_GB2312"/>
          <w:szCs w:val="22"/>
          <w:highlight w:val="none"/>
        </w:rPr>
      </w:pPr>
      <w:r>
        <w:rPr>
          <w:rFonts w:hint="eastAsia" w:ascii="仿宋_GB2312" w:hAnsi="仿宋_GB2312" w:eastAsia="仿宋_GB2312" w:cs="仿宋_GB2312"/>
          <w:szCs w:val="32"/>
          <w:highlight w:val="none"/>
          <w:lang w:eastAsia="zh-Hans"/>
        </w:rPr>
        <w:t>党的十九大以来，</w:t>
      </w:r>
      <w:r>
        <w:rPr>
          <w:rFonts w:hint="eastAsia" w:ascii="仿宋_GB2312" w:hAnsi="仿宋_GB2312" w:eastAsia="仿宋_GB2312" w:cs="仿宋_GB2312"/>
          <w:szCs w:val="32"/>
          <w:highlight w:val="none"/>
        </w:rPr>
        <w:t>广东</w:t>
      </w:r>
      <w:r>
        <w:rPr>
          <w:rFonts w:hint="eastAsia" w:ascii="仿宋_GB2312" w:hAnsi="仿宋_GB2312" w:eastAsia="仿宋_GB2312" w:cs="仿宋_GB2312"/>
          <w:szCs w:val="32"/>
          <w:highlight w:val="none"/>
          <w:lang w:eastAsia="zh-Hans"/>
        </w:rPr>
        <w:t>省按照习近平总书记指引的道路，将构建</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一核一带一区</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eastAsia="zh-Hans"/>
        </w:rPr>
        <w:t>区域发展格局纳</w:t>
      </w:r>
      <w:r>
        <w:rPr>
          <w:rFonts w:hint="eastAsia" w:ascii="仿宋_GB2312" w:hAnsi="仿宋_GB2312" w:eastAsia="仿宋_GB2312" w:cs="仿宋_GB2312"/>
          <w:szCs w:val="22"/>
          <w:highlight w:val="none"/>
        </w:rPr>
        <w:t>入“</w:t>
      </w:r>
      <w:r>
        <w:rPr>
          <w:rFonts w:hint="eastAsia" w:ascii="仿宋_GB2312" w:hAnsi="仿宋_GB2312" w:eastAsia="仿宋_GB2312" w:cs="仿宋_GB2312"/>
          <w:szCs w:val="32"/>
          <w:highlight w:val="none"/>
          <w:lang w:eastAsia="zh-Hans"/>
        </w:rPr>
        <w:t>1+1+9</w:t>
      </w:r>
      <w:r>
        <w:rPr>
          <w:rFonts w:hint="eastAsia" w:ascii="仿宋_GB2312" w:hAnsi="仿宋_GB2312" w:eastAsia="仿宋_GB2312" w:cs="仿宋_GB2312"/>
          <w:szCs w:val="22"/>
          <w:highlight w:val="none"/>
        </w:rPr>
        <w:t>”工作</w:t>
      </w:r>
      <w:r>
        <w:rPr>
          <w:rFonts w:hint="eastAsia" w:ascii="仿宋_GB2312" w:hAnsi="仿宋_GB2312" w:eastAsia="仿宋_GB2312" w:cs="仿宋_GB2312"/>
          <w:szCs w:val="32"/>
          <w:highlight w:val="none"/>
          <w:lang w:eastAsia="zh-Hans"/>
        </w:rPr>
        <w:t>部署全力推进实施，明确了珠三角、沿海经济带和粤北生态发展区的区域功能，</w:t>
      </w:r>
      <w:r>
        <w:rPr>
          <w:rFonts w:hint="eastAsia" w:ascii="仿宋_GB2312" w:hAnsi="仿宋_GB2312" w:eastAsia="仿宋_GB2312" w:cs="仿宋_GB2312"/>
          <w:szCs w:val="22"/>
          <w:highlight w:val="none"/>
        </w:rPr>
        <w:t>确定了“珠三角核心区突出创新驱动、示范带动”“沿海经济带突出陆海统筹、港产联动”“北部生态发展区突出生态优先、绿色发展”的差异化发展思路。茂名全域属于沿海经济带范围，任务是产业支撑强化，逐步形成沿海重要产业集群和产业带。现代农业是茂名市的重要支撑产业之一，是茂名经济的重要组成部分，应充分抢抓高质量加快构建“一核一带一区”区域发展机遇，以湛茂空港经济区为纽带，携手湛江加快湛茂都市圈机遇明显，可大力建设农业农村现代化基础设施，加快重大农业产业项目建设，优化区域产业布局，推进城乡融合发展，奋力建设产业实力雄厚的现代化滨海城市、打造沿海经济带上的新增长极。</w:t>
      </w:r>
    </w:p>
    <w:p>
      <w:pPr>
        <w:pStyle w:val="5"/>
        <w:spacing w:before="0" w:beforeLines="0" w:after="0" w:afterLines="0" w:line="600" w:lineRule="exact"/>
        <w:jc w:val="center"/>
        <w:rPr>
          <w:rFonts w:ascii="Times New Roman" w:hAnsi="Times New Roman" w:eastAsia="方正小标宋简体"/>
          <w:b w:val="0"/>
          <w:bCs w:val="0"/>
          <w:kern w:val="2"/>
          <w:sz w:val="36"/>
          <w:szCs w:val="36"/>
          <w:highlight w:val="none"/>
        </w:rPr>
      </w:pPr>
      <w:r>
        <w:rPr>
          <w:rFonts w:ascii="Times New Roman" w:hAnsi="Times New Roman"/>
          <w:kern w:val="2"/>
          <w:sz w:val="32"/>
          <w:highlight w:val="none"/>
          <w:lang w:eastAsia="zh-Hans"/>
        </w:rPr>
        <w:br w:type="page"/>
      </w:r>
      <w:bookmarkStart w:id="324" w:name="_Toc11260"/>
      <w:bookmarkStart w:id="325" w:name="_Toc10145"/>
      <w:bookmarkStart w:id="326" w:name="_Toc16566"/>
      <w:bookmarkStart w:id="327" w:name="_Toc16498"/>
      <w:bookmarkStart w:id="328" w:name="_Toc10736"/>
      <w:bookmarkStart w:id="329" w:name="_Toc11724"/>
      <w:bookmarkStart w:id="330" w:name="_Toc12357"/>
      <w:bookmarkStart w:id="331" w:name="_Toc27580"/>
      <w:bookmarkStart w:id="332" w:name="_Toc30070"/>
      <w:bookmarkStart w:id="333" w:name="_Toc14713"/>
      <w:bookmarkStart w:id="334" w:name="_Toc18195"/>
      <w:bookmarkStart w:id="335" w:name="_Toc14153"/>
      <w:bookmarkStart w:id="336" w:name="_Toc2132"/>
      <w:bookmarkStart w:id="337" w:name="_Toc12781"/>
      <w:bookmarkStart w:id="338" w:name="_Toc46384822"/>
      <w:bookmarkStart w:id="339" w:name="_Toc29452"/>
      <w:r>
        <w:rPr>
          <w:rFonts w:hint="eastAsia" w:ascii="Times New Roman" w:hAnsi="Times New Roman" w:eastAsia="方正小标宋简体"/>
          <w:b w:val="0"/>
          <w:bCs w:val="0"/>
          <w:kern w:val="2"/>
          <w:sz w:val="36"/>
          <w:szCs w:val="36"/>
          <w:highlight w:val="none"/>
        </w:rPr>
        <w:t>第二章  求实创新 科学确定指导方针和目标</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bookmarkEnd w:id="338"/>
    <w:bookmarkEnd w:id="339"/>
    <w:p>
      <w:pPr>
        <w:pStyle w:val="17"/>
        <w:spacing w:line="600" w:lineRule="exact"/>
        <w:ind w:firstLine="640"/>
        <w:rPr>
          <w:rFonts w:hint="eastAsia" w:ascii="仿宋_GB2312" w:hAnsi="仿宋_GB2312" w:eastAsia="仿宋_GB2312" w:cs="仿宋_GB2312"/>
          <w:szCs w:val="22"/>
          <w:highlight w:val="none"/>
        </w:rPr>
      </w:pPr>
      <w:bookmarkStart w:id="340" w:name="_Toc46384823"/>
      <w:bookmarkStart w:id="341" w:name="_Toc12996"/>
      <w:r>
        <w:rPr>
          <w:rFonts w:hint="eastAsia" w:ascii="仿宋_GB2312" w:hAnsi="仿宋_GB2312" w:eastAsia="仿宋_GB2312" w:cs="仿宋_GB2312"/>
          <w:szCs w:val="32"/>
          <w:highlight w:val="none"/>
          <w:lang w:eastAsia="zh-Hans"/>
        </w:rPr>
        <w:t>站</w:t>
      </w:r>
      <w:r>
        <w:rPr>
          <w:rFonts w:hint="eastAsia" w:ascii="仿宋_GB2312" w:hAnsi="仿宋_GB2312" w:eastAsia="仿宋_GB2312" w:cs="仿宋_GB2312"/>
          <w:szCs w:val="22"/>
          <w:highlight w:val="none"/>
        </w:rPr>
        <w:t>在“两个一百年”奋斗目标的历史交汇点上，全市“三农”工作重心将转向全面推进乡村振兴、加快农业农村现代化，必须结合市情农情民情，以新思路凝聚新共识，以新目标引领新发展，努力谱写农业农村现代化茂名新篇章。</w:t>
      </w:r>
    </w:p>
    <w:p>
      <w:pPr>
        <w:pStyle w:val="17"/>
        <w:spacing w:line="600" w:lineRule="exact"/>
        <w:ind w:firstLine="640"/>
        <w:rPr>
          <w:rFonts w:hint="eastAsia" w:ascii="仿宋_GB2312" w:hAnsi="仿宋_GB2312" w:eastAsia="仿宋_GB2312" w:cs="仿宋_GB2312"/>
          <w:szCs w:val="2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342" w:name="_Toc10387"/>
      <w:bookmarkStart w:id="343" w:name="_Toc26622"/>
      <w:bookmarkStart w:id="344" w:name="_Toc20163"/>
      <w:bookmarkStart w:id="345" w:name="_Toc891"/>
      <w:bookmarkStart w:id="346" w:name="_Toc14815"/>
      <w:bookmarkStart w:id="347" w:name="_Toc21437"/>
      <w:bookmarkStart w:id="348" w:name="_Toc4404"/>
      <w:bookmarkStart w:id="349" w:name="_Toc9758"/>
      <w:bookmarkStart w:id="350" w:name="_Toc22134"/>
      <w:bookmarkStart w:id="351" w:name="_Toc5482"/>
      <w:bookmarkStart w:id="352" w:name="_Toc23123"/>
      <w:bookmarkStart w:id="353" w:name="_Toc18588"/>
      <w:bookmarkStart w:id="354" w:name="_Toc12023"/>
      <w:bookmarkStart w:id="355" w:name="_Toc19220"/>
      <w:r>
        <w:rPr>
          <w:rFonts w:ascii="Times New Roman" w:hAnsi="Times New Roman" w:eastAsia="黑体"/>
          <w:b w:val="0"/>
          <w:bCs w:val="0"/>
          <w:sz w:val="32"/>
          <w:highlight w:val="none"/>
        </w:rPr>
        <w:t>第一节  指导思想</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17"/>
        <w:spacing w:line="600" w:lineRule="exact"/>
        <w:ind w:firstLine="640"/>
        <w:rPr>
          <w:rFonts w:hint="eastAsia" w:ascii="仿宋_GB2312" w:hAnsi="仿宋_GB2312" w:eastAsia="仿宋_GB2312" w:cs="仿宋_GB2312"/>
          <w:szCs w:val="22"/>
          <w:highlight w:val="none"/>
        </w:rPr>
      </w:pPr>
      <w:bookmarkStart w:id="356" w:name="_Toc46384824"/>
      <w:r>
        <w:rPr>
          <w:rFonts w:hint="eastAsia" w:ascii="仿宋_GB2312" w:hAnsi="仿宋_GB2312" w:eastAsia="仿宋_GB2312" w:cs="仿宋_GB2312"/>
          <w:szCs w:val="22"/>
          <w:highlight w:val="none"/>
        </w:rPr>
        <w:t>以习近平新时代中国特色社会主义思想为指导，全面贯彻党的十九大和十九届历次全会精神，深入贯彻落实习近平总书记关于“三农”工作的重要论述及视察广东重要讲话和重要指示批示精神，坚定不移贯彻创新、协调、绿色、开放、共享的新发展理念，坚持稳中求进工作总基调，落实高质量发展要求，紧紧围绕统筹推进“五位一体”总体布局和协调推进“四个全面”战略布局，瞄准茂名市“建设产业实力雄厚的现代化滨海城市，打造沿海经济带上的新增长极”总体目标，加快打造国家级特色现代农业产业基地和高水平乡村振兴“茂名样板”，促进农业高质高效、乡村宜居宜业、农民富裕富足，推动全市乡村振兴工作走在全省前列，逐步实现农业农村现代化。</w:t>
      </w:r>
    </w:p>
    <w:p>
      <w:pPr>
        <w:pStyle w:val="17"/>
        <w:spacing w:line="600" w:lineRule="exact"/>
        <w:ind w:firstLine="640"/>
        <w:rPr>
          <w:rFonts w:hint="eastAsia" w:ascii="仿宋_GB2312" w:hAnsi="仿宋_GB2312" w:eastAsia="仿宋_GB2312" w:cs="仿宋_GB2312"/>
          <w:szCs w:val="2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357" w:name="_Toc4155"/>
      <w:bookmarkStart w:id="358" w:name="_Toc28466"/>
      <w:bookmarkStart w:id="359" w:name="_Toc26251"/>
      <w:bookmarkStart w:id="360" w:name="_Toc3515"/>
      <w:bookmarkStart w:id="361" w:name="_Toc20904"/>
      <w:bookmarkStart w:id="362" w:name="_Toc31600"/>
      <w:bookmarkStart w:id="363" w:name="_Toc2327"/>
      <w:bookmarkStart w:id="364" w:name="_Toc29687"/>
      <w:bookmarkStart w:id="365" w:name="_Toc14050"/>
      <w:bookmarkStart w:id="366" w:name="_Toc6548"/>
      <w:bookmarkStart w:id="367" w:name="_Toc30807"/>
      <w:bookmarkStart w:id="368" w:name="_Toc17983"/>
      <w:bookmarkStart w:id="369" w:name="_Toc18232"/>
      <w:bookmarkStart w:id="370" w:name="_Toc15891"/>
      <w:bookmarkStart w:id="371" w:name="_Toc20895"/>
      <w:r>
        <w:rPr>
          <w:rFonts w:ascii="Times New Roman" w:hAnsi="Times New Roman" w:eastAsia="黑体"/>
          <w:b w:val="0"/>
          <w:bCs w:val="0"/>
          <w:sz w:val="32"/>
          <w:highlight w:val="none"/>
        </w:rPr>
        <w:t>第二节  基本原则</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7"/>
        <w:spacing w:after="0" w:afterLines="0" w:line="600" w:lineRule="exact"/>
        <w:ind w:firstLine="643" w:firstLineChars="200"/>
        <w:rPr>
          <w:rFonts w:hint="eastAsia" w:ascii="仿宋_GB2312" w:hAnsi="仿宋_GB2312" w:eastAsia="仿宋_GB2312" w:cs="仿宋_GB2312"/>
          <w:sz w:val="32"/>
          <w:szCs w:val="22"/>
          <w:highlight w:val="none"/>
        </w:rPr>
      </w:pPr>
      <w:bookmarkStart w:id="372" w:name="_Toc46384825"/>
      <w:r>
        <w:rPr>
          <w:rFonts w:eastAsia="仿宋"/>
          <w:b/>
          <w:bCs/>
          <w:sz w:val="32"/>
          <w:szCs w:val="32"/>
          <w:highlight w:val="none"/>
        </w:rPr>
        <w:t>——坚持党对农业农村工作的全面领导。</w:t>
      </w:r>
      <w:r>
        <w:rPr>
          <w:rFonts w:hint="eastAsia" w:hAnsi="仿宋_GB2312" w:eastAsia="仿宋_GB2312" w:cs="仿宋_GB2312"/>
          <w:sz w:val="32"/>
          <w:szCs w:val="32"/>
          <w:highlight w:val="none"/>
          <w:lang w:eastAsia="zh-Hans"/>
        </w:rPr>
        <w:t>毫</w:t>
      </w:r>
      <w:r>
        <w:rPr>
          <w:rFonts w:hint="eastAsia" w:ascii="仿宋_GB2312" w:hAnsi="仿宋_GB2312" w:eastAsia="仿宋_GB2312" w:cs="仿宋_GB2312"/>
          <w:sz w:val="32"/>
          <w:szCs w:val="22"/>
          <w:highlight w:val="none"/>
        </w:rPr>
        <w:t>不动摇坚持党对“三农”工作的全面领导，健全党领导农村工作体制机制，强化各级党委抓乡村振兴政治责任，全面增强基层党组织的战斗堡垒作用，确保党在农村工作中始终总揽全局、协调各方，为“三农”发展提供坚强的政治保障。</w:t>
      </w:r>
    </w:p>
    <w:p>
      <w:pPr>
        <w:pStyle w:val="7"/>
        <w:spacing w:after="0" w:afterLines="0" w:line="600" w:lineRule="exact"/>
        <w:ind w:firstLine="643" w:firstLineChars="200"/>
        <w:rPr>
          <w:rFonts w:hint="eastAsia" w:ascii="仿宋_GB2312" w:hAnsi="仿宋_GB2312" w:eastAsia="仿宋_GB2312" w:cs="仿宋_GB2312"/>
          <w:sz w:val="32"/>
          <w:szCs w:val="22"/>
          <w:highlight w:val="none"/>
        </w:rPr>
      </w:pPr>
      <w:r>
        <w:rPr>
          <w:rFonts w:hint="eastAsia" w:hAnsi="仿宋_GB2312" w:eastAsia="仿宋_GB2312" w:cs="仿宋_GB2312"/>
          <w:b/>
          <w:bCs/>
          <w:sz w:val="32"/>
          <w:szCs w:val="32"/>
          <w:highlight w:val="none"/>
        </w:rPr>
        <w:t>——坚持农业农村优先发展。</w:t>
      </w:r>
      <w:r>
        <w:rPr>
          <w:rFonts w:hint="eastAsia" w:ascii="仿宋_GB2312" w:hAnsi="仿宋_GB2312" w:eastAsia="仿宋_GB2312" w:cs="仿宋_GB2312"/>
          <w:sz w:val="32"/>
          <w:szCs w:val="22"/>
          <w:highlight w:val="none"/>
        </w:rPr>
        <w:t>“务农重本，国之大纲”。解决好“三农”问题，事关经济社会发展全局。深刻理解把握农业农村优先发展总方针的丰富内涵，心怀“国之大者”，坚持从讲政治的高度做好新发展阶段“三农”工作，率先探索干部配备、要素配置、资金投入和公共服务优先保障农业农村发展的新举措新途径。</w:t>
      </w:r>
    </w:p>
    <w:p>
      <w:pPr>
        <w:pStyle w:val="7"/>
        <w:spacing w:after="0" w:afterLines="0" w:line="600" w:lineRule="exact"/>
        <w:ind w:firstLine="640" w:firstLineChars="200"/>
        <w:rPr>
          <w:rFonts w:hint="eastAsia" w:hAnsi="仿宋_GB2312" w:eastAsia="仿宋_GB2312" w:cs="仿宋_GB2312"/>
          <w:sz w:val="32"/>
          <w:szCs w:val="32"/>
          <w:highlight w:val="none"/>
        </w:rPr>
      </w:pPr>
      <w:r>
        <w:rPr>
          <w:rFonts w:hint="eastAsia" w:hAnsi="仿宋_GB2312" w:eastAsia="仿宋_GB2312" w:cs="仿宋_GB2312"/>
          <w:sz w:val="32"/>
          <w:szCs w:val="32"/>
          <w:highlight w:val="none"/>
        </w:rPr>
        <w:t>——</w:t>
      </w:r>
      <w:r>
        <w:rPr>
          <w:rFonts w:hint="eastAsia" w:hAnsi="仿宋_GB2312" w:eastAsia="仿宋_GB2312" w:cs="仿宋_GB2312"/>
          <w:b/>
          <w:sz w:val="32"/>
          <w:szCs w:val="32"/>
          <w:highlight w:val="none"/>
        </w:rPr>
        <w:t>坚持农民主体地位。</w:t>
      </w:r>
      <w:r>
        <w:rPr>
          <w:rFonts w:hint="eastAsia" w:hAnsi="仿宋_GB2312" w:eastAsia="仿宋_GB2312" w:cs="仿宋_GB2312"/>
          <w:sz w:val="32"/>
          <w:szCs w:val="32"/>
          <w:highlight w:val="none"/>
        </w:rPr>
        <w:t>加快培育勤劳作、精技艺、有情怀、敢创业的新时代精勤农民，充分发挥农民主体作用和首创精神，尊重农民意愿，切实保障农民权益，持续增加农民收入，不断增进农民福祉，让农民群众有更多的获得感、幸福感、安全感。</w:t>
      </w:r>
    </w:p>
    <w:p>
      <w:pPr>
        <w:spacing w:line="600" w:lineRule="exact"/>
        <w:ind w:firstLine="640"/>
        <w:rPr>
          <w:rFonts w:hint="eastAsia" w:hAnsi="仿宋_GB2312" w:eastAsia="仿宋_GB2312" w:cs="仿宋_GB2312"/>
          <w:sz w:val="32"/>
          <w:szCs w:val="32"/>
          <w:highlight w:val="none"/>
        </w:rPr>
      </w:pPr>
      <w:r>
        <w:rPr>
          <w:rFonts w:hint="eastAsia" w:hAnsi="仿宋_GB2312" w:eastAsia="仿宋_GB2312" w:cs="仿宋_GB2312"/>
          <w:b/>
          <w:sz w:val="32"/>
          <w:szCs w:val="32"/>
          <w:highlight w:val="none"/>
        </w:rPr>
        <w:t>——坚持新发展理念。</w:t>
      </w:r>
      <w:r>
        <w:rPr>
          <w:rFonts w:hint="eastAsia" w:hAnsi="仿宋_GB2312" w:eastAsia="仿宋_GB2312" w:cs="仿宋_GB2312"/>
          <w:sz w:val="32"/>
          <w:szCs w:val="32"/>
          <w:highlight w:val="none"/>
        </w:rPr>
        <w:t>深入贯彻创新、协调、绿色、开放、共享的新发展理念，推动农业农村高质量发展，把发展精细农业、建设精美农村和培养精勤农民作为主攻方向，加快质量变革、效率变革、动力变</w:t>
      </w:r>
      <w:r>
        <w:rPr>
          <w:rFonts w:hint="eastAsia" w:ascii="仿宋_GB2312" w:hAnsi="仿宋_GB2312" w:eastAsia="仿宋_GB2312" w:cs="仿宋_GB2312"/>
          <w:sz w:val="32"/>
          <w:szCs w:val="22"/>
          <w:highlight w:val="none"/>
        </w:rPr>
        <w:t>革，着力把“三农”短板变成“潜力板”，构建农业农村高质量发展体制机制，推动农业农村各项工</w:t>
      </w:r>
      <w:r>
        <w:rPr>
          <w:rFonts w:hint="eastAsia" w:hAnsi="仿宋_GB2312" w:eastAsia="仿宋_GB2312" w:cs="仿宋_GB2312"/>
          <w:sz w:val="32"/>
          <w:szCs w:val="32"/>
          <w:highlight w:val="none"/>
        </w:rPr>
        <w:t>作干在实处、走在全省前列。</w:t>
      </w:r>
    </w:p>
    <w:p>
      <w:pPr>
        <w:pStyle w:val="7"/>
        <w:spacing w:after="0" w:afterLines="0" w:line="600" w:lineRule="exact"/>
        <w:ind w:firstLine="643" w:firstLineChars="200"/>
        <w:rPr>
          <w:rFonts w:hint="eastAsia" w:ascii="仿宋_GB2312" w:hAnsi="仿宋_GB2312" w:eastAsia="仿宋_GB2312" w:cs="仿宋_GB2312"/>
          <w:sz w:val="32"/>
          <w:szCs w:val="22"/>
          <w:highlight w:val="none"/>
        </w:rPr>
      </w:pPr>
      <w:r>
        <w:rPr>
          <w:rFonts w:hint="eastAsia" w:hAnsi="仿宋_GB2312" w:eastAsia="仿宋_GB2312" w:cs="仿宋_GB2312"/>
          <w:b/>
          <w:bCs/>
          <w:sz w:val="32"/>
          <w:szCs w:val="32"/>
          <w:highlight w:val="none"/>
        </w:rPr>
        <w:t>——坚持深化农村改革。</w:t>
      </w:r>
      <w:r>
        <w:rPr>
          <w:rFonts w:hint="eastAsia" w:hAnsi="仿宋_GB2312" w:eastAsia="仿宋_GB2312" w:cs="仿宋_GB2312"/>
          <w:sz w:val="32"/>
          <w:szCs w:val="32"/>
          <w:highlight w:val="none"/>
        </w:rPr>
        <w:t>建立健</w:t>
      </w:r>
      <w:r>
        <w:rPr>
          <w:rFonts w:hint="eastAsia" w:ascii="仿宋_GB2312" w:hAnsi="仿宋_GB2312" w:eastAsia="仿宋_GB2312" w:cs="仿宋_GB2312"/>
          <w:sz w:val="32"/>
          <w:szCs w:val="22"/>
          <w:highlight w:val="none"/>
        </w:rPr>
        <w:t>全城乡融合发展体制机制和政策体系，强化以工补农、以城带乡，加快形成工农互促、城乡互补、协调发展、共同繁荣的新型工农城乡关系，巩固完善农村基本经营制度，深入推进农村土地制度、集体产权制度改革，激发农村发展内在动力和活力。</w:t>
      </w:r>
    </w:p>
    <w:p>
      <w:pPr>
        <w:spacing w:line="600" w:lineRule="exact"/>
        <w:ind w:firstLine="640"/>
        <w:rPr>
          <w:rFonts w:hint="eastAsia" w:ascii="仿宋_GB2312" w:hAnsi="仿宋_GB2312" w:eastAsia="仿宋_GB2312" w:cs="仿宋_GB2312"/>
          <w:sz w:val="32"/>
          <w:szCs w:val="22"/>
          <w:highlight w:val="none"/>
        </w:rPr>
      </w:pPr>
      <w:r>
        <w:rPr>
          <w:rFonts w:hint="eastAsia" w:hAnsi="仿宋_GB2312" w:eastAsia="仿宋_GB2312" w:cs="仿宋_GB2312"/>
          <w:b/>
          <w:sz w:val="32"/>
          <w:szCs w:val="32"/>
          <w:highlight w:val="none"/>
        </w:rPr>
        <w:t>——坚持系统观念。</w:t>
      </w:r>
      <w:r>
        <w:rPr>
          <w:rFonts w:hint="eastAsia" w:hAnsi="仿宋_GB2312" w:eastAsia="仿宋_GB2312" w:cs="仿宋_GB2312"/>
          <w:sz w:val="32"/>
          <w:szCs w:val="32"/>
          <w:highlight w:val="none"/>
        </w:rPr>
        <w:t>坚持农业</w:t>
      </w:r>
      <w:r>
        <w:rPr>
          <w:rFonts w:hint="eastAsia" w:ascii="仿宋_GB2312" w:hAnsi="仿宋_GB2312" w:eastAsia="仿宋_GB2312" w:cs="仿宋_GB2312"/>
          <w:sz w:val="32"/>
          <w:szCs w:val="22"/>
          <w:highlight w:val="none"/>
        </w:rPr>
        <w:t>农村现代化一体设计、一并推进，按照产业兴旺、生态宜居、乡风文明、治理有效、生活富裕的总要求，统筹推进乡村产业振兴、生态振兴、文化振兴、人才振兴、组织振兴，统筹发展与安全，强化风险意识和底线思维，统筹发展阶段性和区域差异性，分步实施、分区施策、全面提升。</w:t>
      </w:r>
    </w:p>
    <w:p>
      <w:pPr>
        <w:spacing w:line="600" w:lineRule="exact"/>
        <w:ind w:firstLine="640"/>
        <w:rPr>
          <w:rFonts w:hint="eastAsia" w:ascii="仿宋_GB2312" w:hAnsi="仿宋_GB2312" w:eastAsia="仿宋_GB2312" w:cs="仿宋_GB2312"/>
          <w:sz w:val="32"/>
          <w:szCs w:val="2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373" w:name="_Toc4141"/>
      <w:bookmarkStart w:id="374" w:name="_Toc10768"/>
      <w:bookmarkStart w:id="375" w:name="_Toc1965"/>
      <w:bookmarkStart w:id="376" w:name="_Toc13300"/>
      <w:bookmarkStart w:id="377" w:name="_Toc7490"/>
      <w:bookmarkStart w:id="378" w:name="_Toc31588"/>
      <w:bookmarkStart w:id="379" w:name="_Toc27852"/>
      <w:bookmarkStart w:id="380" w:name="_Toc27800"/>
      <w:bookmarkStart w:id="381" w:name="_Toc2912"/>
      <w:bookmarkStart w:id="382" w:name="_Toc28665"/>
      <w:bookmarkStart w:id="383" w:name="_Toc7867"/>
      <w:bookmarkStart w:id="384" w:name="_Toc9492"/>
      <w:bookmarkStart w:id="385" w:name="_Toc31036"/>
      <w:bookmarkStart w:id="386" w:name="_Toc29442"/>
      <w:bookmarkStart w:id="387" w:name="_Toc29654"/>
      <w:bookmarkStart w:id="388" w:name="_Toc29447"/>
      <w:r>
        <w:rPr>
          <w:rFonts w:ascii="Times New Roman" w:hAnsi="Times New Roman" w:eastAsia="黑体"/>
          <w:b w:val="0"/>
          <w:bCs w:val="0"/>
          <w:sz w:val="32"/>
          <w:highlight w:val="none"/>
        </w:rPr>
        <w:t>第三节  发展目标</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spacing w:line="600" w:lineRule="exact"/>
        <w:ind w:firstLine="640"/>
        <w:rPr>
          <w:rFonts w:hint="eastAsia" w:ascii="Times New Roman" w:hAnsi="仿宋_GB2312" w:eastAsia="仿宋_GB2312" w:cs="仿宋_GB2312"/>
          <w:b w:val="0"/>
          <w:bCs/>
          <w:sz w:val="32"/>
          <w:szCs w:val="32"/>
          <w:highlight w:val="none"/>
        </w:rPr>
      </w:pPr>
      <w:r>
        <w:rPr>
          <w:rFonts w:hint="eastAsia" w:hAnsi="仿宋_GB2312" w:eastAsia="仿宋_GB2312" w:cs="仿宋_GB2312"/>
          <w:b w:val="0"/>
          <w:bCs/>
          <w:sz w:val="32"/>
          <w:szCs w:val="32"/>
          <w:highlight w:val="none"/>
        </w:rPr>
        <w:t>“十四五”发展目标。今后</w:t>
      </w:r>
      <w:r>
        <w:rPr>
          <w:rFonts w:hint="eastAsia" w:ascii="Times New Roman" w:hAnsi="仿宋_GB2312" w:eastAsia="仿宋_GB2312" w:cs="仿宋_GB2312"/>
          <w:b w:val="0"/>
          <w:bCs/>
          <w:sz w:val="32"/>
          <w:szCs w:val="32"/>
          <w:highlight w:val="none"/>
        </w:rPr>
        <w:t>五年力争农业农村现代化取得阶段性重大进展，加快跟上全省、全市经济社会发展步伐，有力推动城乡和区域差距逐步缩小、发展协调性明显增强，实现巩固拓展脱贫攻坚成果同乡村振兴有效衔接。农业基础地位更加牢固，农业现代化走在全省前列。</w:t>
      </w:r>
    </w:p>
    <w:p>
      <w:pPr>
        <w:spacing w:line="600" w:lineRule="exact"/>
        <w:ind w:firstLine="640"/>
        <w:rPr>
          <w:rFonts w:hint="eastAsia" w:hAnsi="仿宋_GB2312" w:eastAsia="仿宋_GB2312" w:cs="仿宋_GB2312"/>
          <w:sz w:val="32"/>
          <w:szCs w:val="32"/>
          <w:highlight w:val="none"/>
        </w:rPr>
      </w:pPr>
      <w:r>
        <w:rPr>
          <w:rFonts w:hint="eastAsia" w:hAnsi="仿宋_GB2312" w:eastAsia="仿宋_GB2312" w:cs="仿宋_GB2312"/>
          <w:b/>
          <w:sz w:val="32"/>
          <w:szCs w:val="32"/>
          <w:highlight w:val="none"/>
        </w:rPr>
        <w:t>——农业现代化走在全省前列。</w:t>
      </w:r>
      <w:r>
        <w:rPr>
          <w:rFonts w:hint="eastAsia" w:hAnsi="仿宋_GB2312" w:eastAsia="仿宋_GB2312" w:cs="仿宋_GB2312"/>
          <w:sz w:val="32"/>
          <w:szCs w:val="32"/>
          <w:highlight w:val="none"/>
        </w:rPr>
        <w:t>精细农业生产经营方式总体形成，农业现代化示范区、特色优势农业产业集群、现代农业产业园和“一村一品、一镇一业”协同推进的格局逐步完善，</w:t>
      </w:r>
      <w:r>
        <w:rPr>
          <w:rFonts w:hint="eastAsia" w:ascii="仿宋_GB2312" w:hAnsi="仿宋_GB2312" w:eastAsia="仿宋_GB2312" w:cs="仿宋_GB2312"/>
          <w:sz w:val="32"/>
          <w:szCs w:val="32"/>
          <w:highlight w:val="none"/>
        </w:rPr>
        <w:t>“6+8</w:t>
      </w:r>
      <w:r>
        <w:rPr>
          <w:rFonts w:hint="eastAsia" w:ascii="仿宋_GB2312" w:hAnsi="仿宋_GB2312" w:eastAsia="仿宋_GB2312" w:cs="仿宋_GB2312"/>
          <w:sz w:val="32"/>
          <w:szCs w:val="22"/>
          <w:highlight w:val="none"/>
        </w:rPr>
        <w:t>”现代</w:t>
      </w:r>
      <w:r>
        <w:rPr>
          <w:rFonts w:hint="eastAsia" w:ascii="仿宋_GB2312" w:hAnsi="仿宋_GB2312" w:eastAsia="仿宋_GB2312" w:cs="仿宋_GB2312"/>
          <w:sz w:val="32"/>
          <w:szCs w:val="32"/>
          <w:highlight w:val="none"/>
        </w:rPr>
        <w:t>农业产业发展格局</w:t>
      </w:r>
      <w:r>
        <w:rPr>
          <w:rStyle w:val="16"/>
          <w:rFonts w:hint="eastAsia" w:ascii="仿宋_GB2312" w:hAnsi="仿宋_GB2312" w:eastAsia="仿宋_GB2312" w:cs="仿宋_GB2312"/>
          <w:sz w:val="32"/>
          <w:szCs w:val="32"/>
          <w:highlight w:val="none"/>
        </w:rPr>
        <w:footnoteReference w:id="4"/>
      </w:r>
      <w:r>
        <w:rPr>
          <w:rFonts w:hint="eastAsia" w:ascii="仿宋_GB2312" w:hAnsi="仿宋_GB2312" w:eastAsia="仿宋_GB2312" w:cs="仿宋_GB2312"/>
          <w:sz w:val="32"/>
          <w:szCs w:val="32"/>
          <w:highlight w:val="none"/>
        </w:rPr>
        <w:t>进一步做强，建设茂名“新三高”农业发展示范区。全力推进打造特色现代农业产业基地</w:t>
      </w:r>
      <w:r>
        <w:rPr>
          <w:rFonts w:hint="eastAsia" w:hAnsi="仿宋_GB2312" w:eastAsia="仿宋_GB2312" w:cs="仿宋_GB2312"/>
          <w:sz w:val="32"/>
          <w:szCs w:val="32"/>
          <w:highlight w:val="none"/>
        </w:rPr>
        <w:t>。粮食等重要农产品保障能力不断增强，粮食</w:t>
      </w:r>
      <w:r>
        <w:rPr>
          <w:rFonts w:hint="eastAsia" w:hAnsi="仿宋_GB2312" w:eastAsia="仿宋_GB2312" w:cs="仿宋_GB2312"/>
          <w:color w:val="auto"/>
          <w:sz w:val="32"/>
          <w:szCs w:val="32"/>
          <w:highlight w:val="none"/>
        </w:rPr>
        <w:t>产量完成省下达任务</w:t>
      </w:r>
      <w:r>
        <w:rPr>
          <w:rFonts w:hint="eastAsia" w:hAnsi="仿宋_GB2312" w:eastAsia="仿宋_GB2312" w:cs="仿宋_GB2312"/>
          <w:sz w:val="32"/>
          <w:szCs w:val="32"/>
          <w:highlight w:val="none"/>
        </w:rPr>
        <w:t>，面源污染治理取得显著成效，在全省率先建立农业高质量发展体制机制。</w:t>
      </w:r>
    </w:p>
    <w:p>
      <w:pPr>
        <w:spacing w:line="600" w:lineRule="exact"/>
        <w:ind w:firstLine="640"/>
        <w:rPr>
          <w:rFonts w:hint="eastAsia" w:hAnsi="仿宋_GB2312" w:eastAsia="仿宋_GB2312" w:cs="仿宋_GB2312"/>
          <w:sz w:val="32"/>
          <w:szCs w:val="32"/>
          <w:highlight w:val="none"/>
        </w:rPr>
      </w:pPr>
      <w:r>
        <w:rPr>
          <w:rFonts w:hint="eastAsia" w:hAnsi="仿宋_GB2312" w:eastAsia="仿宋_GB2312" w:cs="仿宋_GB2312"/>
          <w:b/>
          <w:sz w:val="32"/>
          <w:szCs w:val="32"/>
          <w:highlight w:val="none"/>
        </w:rPr>
        <w:t>——农村现代化取得重点突破。</w:t>
      </w:r>
      <w:r>
        <w:rPr>
          <w:rFonts w:hint="eastAsia" w:hAnsi="仿宋_GB2312" w:eastAsia="仿宋_GB2312" w:cs="仿宋_GB2312"/>
          <w:sz w:val="32"/>
          <w:szCs w:val="32"/>
          <w:highlight w:val="none"/>
        </w:rPr>
        <w:t>精美农村加</w:t>
      </w:r>
      <w:r>
        <w:rPr>
          <w:rFonts w:hint="eastAsia" w:ascii="仿宋_GB2312" w:hAnsi="仿宋_GB2312" w:eastAsia="仿宋_GB2312" w:cs="仿宋_GB2312"/>
          <w:sz w:val="32"/>
          <w:szCs w:val="22"/>
          <w:highlight w:val="none"/>
        </w:rPr>
        <w:t>快建</w:t>
      </w:r>
      <w:r>
        <w:rPr>
          <w:rFonts w:hint="eastAsia" w:hAnsi="仿宋_GB2312" w:eastAsia="仿宋_GB2312" w:cs="仿宋_GB2312"/>
          <w:sz w:val="32"/>
          <w:szCs w:val="32"/>
          <w:highlight w:val="none"/>
        </w:rPr>
        <w:t>设，美丽宜居村达标率达到80%以上，</w:t>
      </w:r>
      <w:r>
        <w:rPr>
          <w:rFonts w:hint="eastAsia" w:ascii="仿宋_GB2312" w:hAnsi="仿宋_GB2312" w:eastAsia="仿宋_GB2312" w:cs="仿宋_GB2312"/>
          <w:sz w:val="32"/>
          <w:szCs w:val="22"/>
          <w:highlight w:val="none"/>
        </w:rPr>
        <w:t>美丽</w:t>
      </w:r>
      <w:r>
        <w:rPr>
          <w:rFonts w:hint="eastAsia" w:hAnsi="仿宋_GB2312" w:eastAsia="仿宋_GB2312" w:cs="仿宋_GB2312"/>
          <w:sz w:val="32"/>
          <w:szCs w:val="32"/>
          <w:highlight w:val="none"/>
        </w:rPr>
        <w:t>乡村风貌带基本建成，乡村建设与山水格局、地域文化融合协调，党在农村的执政基础更加牢固，农村发展安全保障更加有力，乡村治理能力显著提升，营造共建共治共享乡村社会治理格局走在全省前列，“好心茂名”的形象深入人心。</w:t>
      </w:r>
    </w:p>
    <w:p>
      <w:pPr>
        <w:spacing w:line="600" w:lineRule="exact"/>
        <w:ind w:firstLine="640"/>
        <w:rPr>
          <w:rFonts w:hint="eastAsia" w:hAnsi="仿宋_GB2312" w:eastAsia="仿宋_GB2312" w:cs="仿宋_GB2312"/>
          <w:sz w:val="32"/>
          <w:szCs w:val="32"/>
          <w:highlight w:val="none"/>
        </w:rPr>
      </w:pPr>
      <w:r>
        <w:rPr>
          <w:rFonts w:hint="eastAsia" w:hAnsi="仿宋_GB2312" w:eastAsia="仿宋_GB2312" w:cs="仿宋_GB2312"/>
          <w:b/>
          <w:sz w:val="32"/>
          <w:szCs w:val="32"/>
          <w:highlight w:val="none"/>
        </w:rPr>
        <w:t>——农民现代化迈出坚实步伐。</w:t>
      </w:r>
      <w:r>
        <w:rPr>
          <w:rFonts w:hint="eastAsia" w:hAnsi="仿宋_GB2312" w:eastAsia="仿宋_GB2312" w:cs="仿宋_GB2312"/>
          <w:sz w:val="32"/>
          <w:szCs w:val="32"/>
          <w:highlight w:val="none"/>
        </w:rPr>
        <w:t>精勤农民队伍加快建设，职业教育培训制度和体系逐步健全，农民综合素质和精神风貌显著提升，到2025年，实现每个行政村都有学法用法示范户。创业就业活力有效激发，持续增收渠道不断拓宽，脱贫人口“两不愁三保障”有效巩固，农村居民人均可支配收入达到3万元，农民消费加快从生存型向发展型转变，走出一条发展有奔头、增收可持续、生活有质量的共同富裕之路。</w:t>
      </w:r>
    </w:p>
    <w:p>
      <w:pPr>
        <w:spacing w:line="600" w:lineRule="exact"/>
        <w:ind w:firstLine="640"/>
        <w:rPr>
          <w:rFonts w:hint="eastAsia" w:hAnsi="仿宋_GB2312" w:eastAsia="仿宋_GB2312" w:cs="仿宋_GB2312"/>
          <w:sz w:val="32"/>
          <w:szCs w:val="32"/>
          <w:highlight w:val="none"/>
        </w:rPr>
      </w:pPr>
      <w:r>
        <w:rPr>
          <w:rFonts w:hint="eastAsia" w:hAnsi="仿宋_GB2312" w:eastAsia="仿宋_GB2312" w:cs="仿宋_GB2312"/>
          <w:b/>
          <w:sz w:val="32"/>
          <w:szCs w:val="32"/>
          <w:highlight w:val="none"/>
        </w:rPr>
        <w:t>——城乡融合发展体制机制基本建立。</w:t>
      </w:r>
      <w:r>
        <w:rPr>
          <w:rFonts w:hint="eastAsia" w:hAnsi="仿宋_GB2312" w:eastAsia="仿宋_GB2312" w:cs="仿宋_GB2312"/>
          <w:sz w:val="32"/>
          <w:szCs w:val="32"/>
          <w:highlight w:val="none"/>
        </w:rPr>
        <w:t>农村改革不断深化，城乡要素双向合理流动的制度性通道进一步打通，以工补农、以城带乡的拉动作用更加强劲，区域城乡更加协调，城乡基本公共服务均等化水平明显提升，城乡居民人均可支配收入差距缩小至1.52:1，城乡基础设施加快互联互通，普惠共享公共服务加快并轨，新型工农城乡关系初步形成。</w:t>
      </w:r>
    </w:p>
    <w:p>
      <w:pPr>
        <w:spacing w:line="600" w:lineRule="exact"/>
        <w:ind w:firstLine="640"/>
        <w:jc w:val="both"/>
        <w:rPr>
          <w:rFonts w:hint="eastAsia" w:ascii="仿宋_GB2312" w:hAnsi="仿宋_GB2312" w:eastAsia="仿宋_GB2312" w:cs="仿宋_GB2312"/>
          <w:sz w:val="28"/>
          <w:szCs w:val="32"/>
          <w:highlight w:val="none"/>
        </w:rPr>
      </w:pPr>
      <w:r>
        <w:rPr>
          <w:rFonts w:hint="eastAsia" w:hAnsi="仿宋_GB2312" w:eastAsia="仿宋_GB2312" w:cs="仿宋_GB2312"/>
          <w:b/>
          <w:sz w:val="32"/>
          <w:szCs w:val="32"/>
          <w:highlight w:val="none"/>
        </w:rPr>
        <w:t>2035年远景目标。</w:t>
      </w:r>
      <w:r>
        <w:rPr>
          <w:rFonts w:hint="eastAsia" w:hAnsi="仿宋_GB2312" w:eastAsia="仿宋_GB2312" w:cs="仿宋_GB2312"/>
          <w:sz w:val="32"/>
          <w:szCs w:val="32"/>
          <w:highlight w:val="none"/>
        </w:rPr>
        <w:t>全市乡村振兴取得决定性进展，与全省同步实现农业农村现代化。农业现代化与新型工业化、信息化、城镇化协调同步，质量效益和竞争力迈上新的大台阶，农业重点产业、关键环节核心技术取得重大突破，建成具有影响力的粤西地区乃至全省的农业科技创新中心；岭南特色宜居宜业乡村基本建成，绿色生产生活方式深入普及，乡风文明达到新高度，力争每个行政村的学法用法示范户数量和效果都符合茂名法治建设要求，基本实现乡村治理体系和治理能力现代化；城乡区域发展差距和居民生活水平差距显著缩小，基本公共服务基本实现均等化，农民全面发展与共同富裕取得更为明显的实质性进展。</w:t>
      </w:r>
    </w:p>
    <w:p>
      <w:pPr>
        <w:jc w:val="center"/>
        <w:rPr>
          <w:rFonts w:hint="eastAsia" w:ascii="黑体" w:hAnsi="黑体" w:eastAsia="黑体" w:cs="黑体"/>
          <w:sz w:val="28"/>
          <w:szCs w:val="32"/>
          <w:highlight w:val="none"/>
        </w:rPr>
      </w:pPr>
      <w:r>
        <w:rPr>
          <w:rFonts w:hint="eastAsia" w:ascii="黑体" w:hAnsi="黑体" w:eastAsia="黑体" w:cs="黑体"/>
          <w:sz w:val="28"/>
          <w:szCs w:val="32"/>
          <w:highlight w:val="none"/>
        </w:rPr>
        <w:t>表2-1  茂名市农业农村现代化“十四五”规划目标列表</w:t>
      </w:r>
    </w:p>
    <w:tbl>
      <w:tblPr>
        <w:tblStyle w:val="14"/>
        <w:tblW w:w="0" w:type="auto"/>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628"/>
        <w:gridCol w:w="567"/>
        <w:gridCol w:w="2853"/>
        <w:gridCol w:w="1161"/>
        <w:gridCol w:w="1235"/>
        <w:gridCol w:w="1393"/>
        <w:gridCol w:w="1035"/>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9" w:hRule="atLeast"/>
          <w:tblHeader/>
          <w:jc w:val="center"/>
        </w:trPr>
        <w:tc>
          <w:tcPr>
            <w:tcW w:w="62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分类</w:t>
            </w:r>
          </w:p>
        </w:tc>
        <w:tc>
          <w:tcPr>
            <w:tcW w:w="56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序号</w:t>
            </w:r>
          </w:p>
        </w:tc>
        <w:tc>
          <w:tcPr>
            <w:tcW w:w="285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主要指标</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单位</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基期值</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目标值</w:t>
            </w:r>
          </w:p>
        </w:tc>
        <w:tc>
          <w:tcPr>
            <w:tcW w:w="1035" w:type="dxa"/>
            <w:vMerge w:val="restart"/>
            <w:tcBorders>
              <w:top w:val="single" w:color="auto" w:sz="4" w:space="0"/>
              <w:left w:val="nil"/>
              <w:right w:val="single" w:color="auto" w:sz="4" w:space="0"/>
            </w:tcBorders>
            <w:noWrap w:val="0"/>
            <w:vAlign w:val="center"/>
          </w:tcPr>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指标</w:t>
            </w:r>
          </w:p>
          <w:p>
            <w:pPr>
              <w:widowControl/>
              <w:spacing w:line="360" w:lineRule="exact"/>
              <w:jc w:val="center"/>
              <w:rPr>
                <w:rFonts w:ascii="Times New Roman" w:hAnsi="Times New Roman" w:eastAsia="黑体"/>
                <w:kern w:val="0"/>
                <w:sz w:val="24"/>
                <w:highlight w:val="none"/>
              </w:rPr>
            </w:pPr>
            <w:r>
              <w:rPr>
                <w:rFonts w:ascii="Times New Roman" w:hAnsi="Times New Roman" w:eastAsia="黑体"/>
                <w:kern w:val="0"/>
                <w:sz w:val="24"/>
                <w:highlight w:val="none"/>
              </w:rPr>
              <w:t>属性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8" w:hRule="atLeast"/>
          <w:tblHeader/>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黑体"/>
                <w:kern w:val="0"/>
                <w:sz w:val="24"/>
                <w:highlight w:val="none"/>
              </w:rPr>
            </w:pPr>
          </w:p>
        </w:tc>
        <w:tc>
          <w:tcPr>
            <w:tcW w:w="56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黑体"/>
                <w:kern w:val="0"/>
                <w:sz w:val="24"/>
                <w:highlight w:val="none"/>
              </w:rPr>
            </w:pPr>
          </w:p>
        </w:tc>
        <w:tc>
          <w:tcPr>
            <w:tcW w:w="28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黑体"/>
                <w:kern w:val="0"/>
                <w:sz w:val="24"/>
                <w:highlight w:val="none"/>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黑体"/>
                <w:kern w:val="0"/>
                <w:sz w:val="24"/>
                <w:highlight w:val="none"/>
              </w:rPr>
            </w:pP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ascii="Times New Roman" w:hAnsi="Times New Roman" w:eastAsia="等线"/>
                <w:kern w:val="0"/>
                <w:sz w:val="24"/>
                <w:highlight w:val="none"/>
              </w:rPr>
            </w:pPr>
            <w:r>
              <w:rPr>
                <w:rFonts w:ascii="Times New Roman" w:hAnsi="Times New Roman" w:eastAsia="等线"/>
                <w:kern w:val="0"/>
                <w:sz w:val="24"/>
                <w:highlight w:val="none"/>
              </w:rPr>
              <w:t>2020</w:t>
            </w:r>
            <w:r>
              <w:rPr>
                <w:rFonts w:ascii="Times New Roman" w:hAnsi="Times New Roman" w:eastAsia="黑体"/>
                <w:kern w:val="0"/>
                <w:sz w:val="24"/>
                <w:highlight w:val="none"/>
              </w:rPr>
              <w:t>年</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ascii="Times New Roman" w:hAnsi="Times New Roman" w:eastAsia="等线"/>
                <w:kern w:val="0"/>
                <w:sz w:val="24"/>
                <w:highlight w:val="none"/>
              </w:rPr>
            </w:pPr>
            <w:r>
              <w:rPr>
                <w:rFonts w:ascii="Times New Roman" w:hAnsi="Times New Roman" w:eastAsia="等线"/>
                <w:kern w:val="0"/>
                <w:sz w:val="24"/>
                <w:highlight w:val="none"/>
              </w:rPr>
              <w:t>2025</w:t>
            </w:r>
            <w:r>
              <w:rPr>
                <w:rFonts w:ascii="Times New Roman" w:hAnsi="Times New Roman" w:eastAsia="黑体"/>
                <w:kern w:val="0"/>
                <w:sz w:val="24"/>
                <w:highlight w:val="none"/>
              </w:rPr>
              <w:t>年</w:t>
            </w:r>
          </w:p>
        </w:tc>
        <w:tc>
          <w:tcPr>
            <w:tcW w:w="1035" w:type="dxa"/>
            <w:vMerge w:val="continue"/>
            <w:tcBorders>
              <w:left w:val="nil"/>
              <w:bottom w:val="single" w:color="auto" w:sz="4" w:space="0"/>
              <w:right w:val="single" w:color="auto" w:sz="4" w:space="0"/>
            </w:tcBorders>
            <w:noWrap w:val="0"/>
            <w:vAlign w:val="center"/>
          </w:tcPr>
          <w:p>
            <w:pPr>
              <w:widowControl/>
              <w:spacing w:line="360" w:lineRule="exact"/>
              <w:rPr>
                <w:rFonts w:ascii="Times New Roman" w:hAnsi="Times New Roman" w:eastAsia="等线"/>
                <w:kern w:val="0"/>
                <w:sz w:val="24"/>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农业高质高效</w:t>
            </w: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粮食综合生产能力</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万吨</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cs="仿宋_GB2312"/>
                <w:kern w:val="0"/>
                <w:sz w:val="24"/>
                <w:highlight w:val="none"/>
              </w:rPr>
            </w:pPr>
            <w:r>
              <w:rPr>
                <w:rFonts w:hint="eastAsia" w:ascii="仿宋_GB2312" w:hAnsi="仿宋_GB2312" w:eastAsia="仿宋_GB2312" w:cs="仿宋_GB2312"/>
                <w:kern w:val="0"/>
                <w:sz w:val="24"/>
                <w:highlight w:val="none"/>
              </w:rPr>
              <w:t>152.77</w:t>
            </w:r>
          </w:p>
        </w:tc>
        <w:tc>
          <w:tcPr>
            <w:tcW w:w="1393" w:type="dxa"/>
            <w:tcBorders>
              <w:top w:val="nil"/>
              <w:left w:val="nil"/>
              <w:bottom w:val="single" w:color="auto" w:sz="4" w:space="0"/>
              <w:right w:val="single" w:color="auto" w:sz="4" w:space="0"/>
            </w:tcBorders>
            <w:noWrap w:val="0"/>
            <w:vAlign w:val="top"/>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完成省下达任务</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约束性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粮食生产功能区面积</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万亩</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szCs w:val="20"/>
                <w:highlight w:val="none"/>
                <w:lang w:bidi="ar"/>
              </w:rPr>
              <w:t>133.20</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szCs w:val="20"/>
                <w:highlight w:val="none"/>
                <w:lang w:bidi="ar"/>
              </w:rPr>
              <w:t>133.20</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约束性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3</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高标准农田面积</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万亩</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276.25</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完成省下达任务</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约束性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4</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生猪年末存栏量</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万头</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268.85</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&gt;</w:t>
            </w:r>
            <w:r>
              <w:rPr>
                <w:rFonts w:hint="eastAsia" w:ascii="仿宋_GB2312" w:hAnsi="仿宋_GB2312" w:eastAsia="仿宋_GB2312" w:cs="仿宋_GB2312"/>
                <w:sz w:val="24"/>
                <w:szCs w:val="20"/>
                <w:highlight w:val="none"/>
                <w:lang w:bidi="ar"/>
              </w:rPr>
              <w:t>304.5</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5</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农业科技进步贡献率</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75</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6</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水稻耕种收综合机械化率</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73.52</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78</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7</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农产品质量安全监测合格率</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98</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≥98</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8</w:t>
            </w:r>
          </w:p>
        </w:tc>
        <w:tc>
          <w:tcPr>
            <w:tcW w:w="2853" w:type="dxa"/>
            <w:tcBorders>
              <w:top w:val="nil"/>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农产品加工业营业收入</w:t>
            </w:r>
          </w:p>
        </w:tc>
        <w:tc>
          <w:tcPr>
            <w:tcW w:w="1161"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亿</w:t>
            </w:r>
          </w:p>
        </w:tc>
        <w:tc>
          <w:tcPr>
            <w:tcW w:w="12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250.94</w:t>
            </w:r>
          </w:p>
        </w:tc>
        <w:tc>
          <w:tcPr>
            <w:tcW w:w="1393"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290</w:t>
            </w:r>
          </w:p>
        </w:tc>
        <w:tc>
          <w:tcPr>
            <w:tcW w:w="1035" w:type="dxa"/>
            <w:tcBorders>
              <w:top w:val="nil"/>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Times New Roman" w:hAnsi="Times New Roman" w:eastAsia="方正仿宋_GB2312"/>
                <w:kern w:val="0"/>
                <w:sz w:val="24"/>
                <w:highlight w:val="none"/>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农林水事务支出占财政支出比重</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8.07</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&gt;9</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乡村宜居宜业</w:t>
            </w: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畜禽粪污综合利用率</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92.26</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80</w:t>
            </w:r>
            <w:r>
              <w:rPr>
                <w:rStyle w:val="16"/>
                <w:rFonts w:hint="eastAsia" w:ascii="仿宋_GB2312" w:hAnsi="仿宋_GB2312" w:eastAsia="仿宋_GB2312" w:cs="仿宋_GB2312"/>
                <w:kern w:val="0"/>
                <w:sz w:val="24"/>
                <w:highlight w:val="none"/>
              </w:rPr>
              <w:footnoteReference w:id="5"/>
            </w:r>
          </w:p>
        </w:tc>
        <w:tc>
          <w:tcPr>
            <w:tcW w:w="10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约束性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11</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农村自来水普及率</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color w:val="auto"/>
                <w:kern w:val="0"/>
                <w:sz w:val="24"/>
                <w:highlight w:val="none"/>
              </w:rPr>
              <w:t>91.4</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&gt;99</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12</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农村生活污水治理率</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45</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&gt;70</w:t>
            </w:r>
          </w:p>
        </w:tc>
        <w:tc>
          <w:tcPr>
            <w:tcW w:w="1035" w:type="dxa"/>
            <w:tcBorders>
              <w:top w:val="single" w:color="auto" w:sz="4" w:space="0"/>
              <w:left w:val="nil"/>
              <w:bottom w:val="single" w:color="auto" w:sz="4" w:space="0"/>
              <w:right w:val="single" w:color="auto" w:sz="4" w:space="0"/>
            </w:tcBorders>
            <w:noWrap w:val="0"/>
            <w:vAlign w:val="center"/>
          </w:tcPr>
          <w:p>
            <w:pPr>
              <w:spacing w:line="360" w:lineRule="exact"/>
              <w:jc w:val="center"/>
              <w:rPr>
                <w:rFonts w:hint="eastAsia" w:ascii="仿宋_GB2312" w:hAnsi="仿宋_GB2312" w:eastAsia="仿宋_GB2312" w:cs="仿宋_GB2312"/>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8"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13</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美丽宜居村达标率</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64.12</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&gt;80</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9" w:hRule="atLeast"/>
          <w:jc w:val="center"/>
        </w:trPr>
        <w:tc>
          <w:tcPr>
            <w:tcW w:w="62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农民富裕富足</w:t>
            </w: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14</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农村居民人均可支配收入</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万元</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1.96</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3</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约束性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1"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城乡居民人均可支配收入之比</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tc>
        <w:tc>
          <w:tcPr>
            <w:tcW w:w="12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1.57</w:t>
            </w:r>
          </w:p>
        </w:tc>
        <w:tc>
          <w:tcPr>
            <w:tcW w:w="1393"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≤1.52</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2" w:hRule="atLeast"/>
          <w:jc w:val="center"/>
        </w:trPr>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p>
        </w:tc>
        <w:tc>
          <w:tcPr>
            <w:tcW w:w="567"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16</w:t>
            </w:r>
          </w:p>
        </w:tc>
        <w:tc>
          <w:tcPr>
            <w:tcW w:w="2853" w:type="dxa"/>
            <w:tcBorders>
              <w:top w:val="single" w:color="auto" w:sz="4" w:space="0"/>
              <w:left w:val="nil"/>
              <w:bottom w:val="single" w:color="auto" w:sz="4" w:space="0"/>
              <w:right w:val="single" w:color="auto" w:sz="4" w:space="0"/>
            </w:tcBorders>
            <w:noWrap w:val="0"/>
            <w:vAlign w:val="center"/>
          </w:tcPr>
          <w:p>
            <w:pPr>
              <w:widowControl/>
              <w:spacing w:line="360" w:lineRule="exact"/>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农村人才及培育高素质农民数量</w:t>
            </w:r>
            <w:r>
              <w:rPr>
                <w:rFonts w:hint="eastAsia" w:ascii="仿宋_GB2312" w:hAnsi="仿宋_GB2312" w:eastAsia="仿宋_GB2312" w:cs="仿宋_GB2312"/>
                <w:kern w:val="0"/>
                <w:sz w:val="24"/>
                <w:highlight w:val="none"/>
                <w:vertAlign w:val="superscript"/>
              </w:rPr>
              <w:t>*</w:t>
            </w:r>
          </w:p>
        </w:tc>
        <w:tc>
          <w:tcPr>
            <w:tcW w:w="1161"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万人</w:t>
            </w:r>
          </w:p>
        </w:tc>
        <w:tc>
          <w:tcPr>
            <w:tcW w:w="1235" w:type="dxa"/>
            <w:tcBorders>
              <w:top w:val="single" w:color="auto" w:sz="4" w:space="0"/>
              <w:left w:val="nil"/>
              <w:bottom w:val="single" w:color="auto" w:sz="4" w:space="0"/>
              <w:right w:val="single" w:color="auto" w:sz="4" w:space="0"/>
            </w:tcBorders>
            <w:noWrap w:val="0"/>
            <w:vAlign w:val="center"/>
          </w:tcPr>
          <w:p>
            <w:pPr>
              <w:spacing w:line="360" w:lineRule="exact"/>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c>
          <w:tcPr>
            <w:tcW w:w="1393" w:type="dxa"/>
            <w:tcBorders>
              <w:top w:val="single" w:color="auto" w:sz="4" w:space="0"/>
              <w:left w:val="nil"/>
              <w:bottom w:val="single" w:color="auto" w:sz="4" w:space="0"/>
              <w:right w:val="single" w:color="auto" w:sz="4" w:space="0"/>
            </w:tcBorders>
            <w:noWrap w:val="0"/>
            <w:vAlign w:val="center"/>
          </w:tcPr>
          <w:p>
            <w:pPr>
              <w:spacing w:line="360" w:lineRule="exact"/>
              <w:jc w:val="center"/>
              <w:rPr>
                <w:rFonts w:hint="eastAsia" w:ascii="仿宋_GB2312" w:hAnsi="仿宋_GB2312" w:eastAsia="仿宋_GB2312" w:cs="仿宋_GB2312"/>
                <w:sz w:val="24"/>
                <w:highlight w:val="none"/>
              </w:rPr>
            </w:pPr>
            <w:r>
              <w:rPr>
                <w:rFonts w:hint="eastAsia" w:ascii="仿宋_GB2312" w:hAnsi="仿宋_GB2312" w:eastAsia="仿宋_GB2312" w:cs="仿宋_GB2312"/>
                <w:kern w:val="0"/>
                <w:sz w:val="24"/>
                <w:highlight w:val="none"/>
              </w:rPr>
              <w:t>&gt;</w:t>
            </w:r>
            <w:r>
              <w:rPr>
                <w:rFonts w:hint="eastAsia" w:ascii="仿宋_GB2312" w:hAnsi="仿宋_GB2312" w:eastAsia="仿宋_GB2312" w:cs="仿宋_GB2312"/>
                <w:sz w:val="24"/>
                <w:highlight w:val="none"/>
              </w:rPr>
              <w:t>20</w:t>
            </w:r>
          </w:p>
        </w:tc>
        <w:tc>
          <w:tcPr>
            <w:tcW w:w="1035" w:type="dxa"/>
            <w:tcBorders>
              <w:top w:val="single" w:color="auto" w:sz="4" w:space="0"/>
              <w:left w:val="nil"/>
              <w:bottom w:val="single" w:color="auto" w:sz="4" w:space="0"/>
              <w:right w:val="single" w:color="auto" w:sz="4" w:space="0"/>
            </w:tcBorders>
            <w:noWrap w:val="0"/>
            <w:vAlign w:val="center"/>
          </w:tcPr>
          <w:p>
            <w:pPr>
              <w:widowControl/>
              <w:spacing w:line="360" w:lineRule="exact"/>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预期性</w:t>
            </w:r>
          </w:p>
        </w:tc>
      </w:tr>
    </w:tbl>
    <w:p>
      <w:pPr>
        <w:pStyle w:val="2"/>
        <w:spacing w:after="0" w:afterLines="0"/>
        <w:ind w:left="0" w:leftChars="0" w:firstLine="440"/>
        <w:rPr>
          <w:rFonts w:hint="eastAsia" w:ascii="仿宋_GB2312" w:hAnsi="仿宋_GB2312" w:eastAsia="仿宋_GB2312" w:cs="仿宋_GB2312"/>
          <w:sz w:val="22"/>
          <w:szCs w:val="32"/>
          <w:highlight w:val="none"/>
        </w:rPr>
      </w:pPr>
    </w:p>
    <w:p>
      <w:pPr>
        <w:pStyle w:val="2"/>
        <w:spacing w:after="0" w:afterLines="0"/>
        <w:ind w:left="0" w:leftChars="0" w:firstLine="440"/>
        <w:rPr>
          <w:rFonts w:hint="eastAsia" w:ascii="仿宋_GB2312" w:hAnsi="仿宋_GB2312" w:eastAsia="仿宋_GB2312" w:cs="仿宋_GB2312"/>
          <w:sz w:val="22"/>
          <w:szCs w:val="32"/>
          <w:highlight w:val="none"/>
        </w:rPr>
      </w:pPr>
      <w:r>
        <w:rPr>
          <w:rFonts w:hint="eastAsia" w:ascii="仿宋_GB2312" w:hAnsi="仿宋_GB2312" w:eastAsia="仿宋_GB2312" w:cs="仿宋_GB2312"/>
          <w:sz w:val="22"/>
          <w:szCs w:val="32"/>
          <w:highlight w:val="none"/>
        </w:rPr>
        <w:t>注：农村人才及高素质农民包括：新型经营主体带头人、青年农场主、家庭农场主、“广东技工”、“粤菜师傅”、“南粤家政”、“乡村工匠”、“乡土专家”、“农业经理人”等。</w:t>
      </w:r>
    </w:p>
    <w:p>
      <w:pPr>
        <w:pStyle w:val="4"/>
        <w:spacing w:line="579" w:lineRule="auto"/>
        <w:jc w:val="center"/>
        <w:rPr>
          <w:rFonts w:hint="eastAsia" w:ascii="仿宋_GB2312" w:hAnsi="仿宋_GB2312" w:eastAsia="仿宋_GB2312" w:cs="仿宋_GB2312"/>
          <w:b w:val="0"/>
          <w:sz w:val="36"/>
          <w:szCs w:val="32"/>
          <w:highlight w:val="none"/>
        </w:rPr>
        <w:sectPr>
          <w:footerReference r:id="rId14" w:type="default"/>
          <w:footerReference r:id="rId15" w:type="even"/>
          <w:pgSz w:w="11906" w:h="16838"/>
          <w:pgMar w:top="1927" w:right="1304" w:bottom="1531" w:left="1531" w:header="851" w:footer="1417" w:gutter="0"/>
          <w:pgNumType w:fmt="numberInDash"/>
          <w:cols w:space="720" w:num="1"/>
          <w:rtlGutter w:val="0"/>
          <w:docGrid w:type="lines" w:linePitch="312" w:charSpace="0"/>
        </w:sectPr>
      </w:pPr>
    </w:p>
    <w:p>
      <w:pPr>
        <w:pStyle w:val="4"/>
        <w:spacing w:before="0" w:beforeLines="0" w:after="0" w:afterLines="0" w:line="600" w:lineRule="exact"/>
        <w:jc w:val="center"/>
        <w:rPr>
          <w:rFonts w:eastAsia="方正小标宋简体"/>
          <w:b w:val="0"/>
          <w:bCs w:val="0"/>
          <w:kern w:val="2"/>
          <w:sz w:val="36"/>
          <w:szCs w:val="36"/>
          <w:highlight w:val="none"/>
        </w:rPr>
      </w:pPr>
      <w:bookmarkStart w:id="389" w:name="_Toc21004"/>
      <w:bookmarkStart w:id="390" w:name="_Toc46384826"/>
      <w:bookmarkStart w:id="391" w:name="_Toc1332"/>
      <w:bookmarkStart w:id="392" w:name="_Toc23270"/>
      <w:bookmarkStart w:id="393" w:name="_Toc17721"/>
      <w:bookmarkStart w:id="394" w:name="_Toc3086"/>
      <w:bookmarkStart w:id="395" w:name="_Toc11068"/>
      <w:bookmarkStart w:id="396" w:name="_Toc28858"/>
      <w:bookmarkStart w:id="397" w:name="_Toc24657"/>
      <w:bookmarkStart w:id="398" w:name="_Toc18465"/>
      <w:bookmarkStart w:id="399" w:name="_Toc24639"/>
      <w:bookmarkStart w:id="400" w:name="_Toc25918"/>
      <w:bookmarkStart w:id="401" w:name="_Toc19041"/>
      <w:bookmarkStart w:id="402" w:name="_Toc7257"/>
      <w:bookmarkStart w:id="403" w:name="_Toc1893"/>
      <w:bookmarkStart w:id="404" w:name="_Toc24566"/>
      <w:bookmarkStart w:id="405" w:name="_Toc29551"/>
      <w:r>
        <w:rPr>
          <w:rFonts w:eastAsia="方正小标宋简体"/>
          <w:b w:val="0"/>
          <w:bCs w:val="0"/>
          <w:kern w:val="2"/>
          <w:sz w:val="36"/>
          <w:szCs w:val="36"/>
          <w:highlight w:val="none"/>
        </w:rPr>
        <w:t>第三章  发挥发展优势，优化产业布局</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5"/>
        <w:spacing w:before="0" w:beforeLines="0" w:after="0" w:afterLines="0" w:line="600" w:lineRule="exact"/>
        <w:jc w:val="center"/>
        <w:rPr>
          <w:rFonts w:ascii="Times New Roman" w:hAnsi="Times New Roman" w:eastAsia="黑体"/>
          <w:b w:val="0"/>
          <w:bCs w:val="0"/>
          <w:sz w:val="32"/>
          <w:highlight w:val="none"/>
        </w:rPr>
      </w:pPr>
      <w:bookmarkStart w:id="406" w:name="_Toc5710"/>
      <w:bookmarkStart w:id="407" w:name="_Toc10163"/>
      <w:bookmarkStart w:id="408" w:name="_Toc3489"/>
      <w:bookmarkStart w:id="409" w:name="_Toc5067"/>
      <w:bookmarkStart w:id="410" w:name="_Toc2268"/>
      <w:bookmarkStart w:id="411" w:name="_Toc12435"/>
      <w:bookmarkStart w:id="412" w:name="_Toc3969"/>
      <w:bookmarkStart w:id="413" w:name="_Toc15566"/>
      <w:bookmarkStart w:id="414" w:name="_Toc8066"/>
      <w:bookmarkStart w:id="415" w:name="_Toc1198"/>
      <w:bookmarkStart w:id="416" w:name="_Toc17653"/>
      <w:bookmarkStart w:id="417" w:name="_Toc24466"/>
      <w:bookmarkStart w:id="418" w:name="_Toc24768"/>
      <w:bookmarkStart w:id="419" w:name="_Toc17082"/>
      <w:bookmarkStart w:id="420" w:name="_Toc1249"/>
      <w:bookmarkStart w:id="421" w:name="_Toc47714196"/>
      <w:bookmarkStart w:id="422" w:name="_Toc27123"/>
      <w:bookmarkStart w:id="423" w:name="_Toc16922"/>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第一节  产业定位</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600" w:lineRule="exact"/>
        <w:ind w:firstLine="640" w:firstLineChars="200"/>
        <w:rPr>
          <w:rFonts w:hint="eastAsia" w:ascii="仿宋_GB2312" w:hAnsi="仿宋_GB2312" w:eastAsia="仿宋_GB2312" w:cs="仿宋_GB2312"/>
          <w:sz w:val="32"/>
          <w:szCs w:val="22"/>
          <w:highlight w:val="none"/>
        </w:rPr>
      </w:pPr>
      <w:r>
        <w:rPr>
          <w:rFonts w:hint="eastAsia" w:hAnsi="仿宋_GB2312" w:eastAsia="仿宋_GB2312" w:cs="仿宋_GB2312"/>
          <w:kern w:val="0"/>
          <w:sz w:val="32"/>
          <w:szCs w:val="22"/>
          <w:highlight w:val="none"/>
        </w:rPr>
        <w:t>按</w:t>
      </w:r>
      <w:r>
        <w:rPr>
          <w:rFonts w:hint="eastAsia" w:ascii="仿宋_GB2312" w:hAnsi="仿宋_GB2312" w:eastAsia="仿宋_GB2312" w:cs="仿宋_GB2312"/>
          <w:sz w:val="32"/>
          <w:szCs w:val="22"/>
          <w:highlight w:val="none"/>
        </w:rPr>
        <w:t>照省“一核一带一区”的发展布局，结合茂名农业发展优势、资源禀赋和农业发展政策导向，重点发展水稻、生猪等基础产业，优化水果（荔枝、龙眼、香蕉、三华李等）蔬菜、水产（罗非鱼、对虾等）、畜牧等优势产业，提升南药（化橘红、沉香、益智等）、蚕桑等特色产业，加快农产品加工业</w:t>
      </w:r>
      <w:r>
        <w:rPr>
          <w:rFonts w:hint="eastAsia" w:ascii="仿宋_GB2312" w:hAnsi="仿宋_GB2312" w:eastAsia="仿宋_GB2312" w:cs="仿宋_GB2312"/>
          <w:sz w:val="32"/>
          <w:szCs w:val="32"/>
          <w:highlight w:val="none"/>
        </w:rPr>
        <w:t>、农产品物流业</w:t>
      </w:r>
      <w:r>
        <w:rPr>
          <w:rFonts w:hint="eastAsia" w:ascii="仿宋_GB2312" w:hAnsi="仿宋_GB2312" w:eastAsia="仿宋_GB2312" w:cs="仿宋_GB2312"/>
          <w:sz w:val="32"/>
          <w:szCs w:val="22"/>
          <w:highlight w:val="none"/>
        </w:rPr>
        <w:t>、农村电商、休闲农业和乡村旅游业建设，推动茂名农业标准化、品牌化、现代化建设，打造新时代茂名高质、高效、高融合的“新三高”农业，</w:t>
      </w:r>
      <w:r>
        <w:rPr>
          <w:rFonts w:hint="eastAsia" w:ascii="仿宋_GB2312" w:hAnsi="仿宋_GB2312" w:eastAsia="仿宋_GB2312" w:cs="仿宋_GB2312"/>
          <w:sz w:val="32"/>
          <w:szCs w:val="32"/>
          <w:highlight w:val="none"/>
        </w:rPr>
        <w:t>推动农业发展由增产导向转为提质导向，全面提高农业质量效益和竞争力，创建现代农业“新三高”发展示范市，打造国家级特色现代农业产业基地。</w:t>
      </w:r>
    </w:p>
    <w:p>
      <w:pPr>
        <w:pStyle w:val="17"/>
        <w:ind w:firstLine="643"/>
        <w:rPr>
          <w:rFonts w:hint="eastAsia" w:ascii="仿宋_GB2312" w:hAnsi="仿宋_GB2312" w:eastAsia="仿宋_GB2312" w:cs="仿宋_GB2312"/>
          <w:color w:val="auto"/>
          <w:kern w:val="0"/>
          <w:szCs w:val="22"/>
          <w:highlight w:val="none"/>
        </w:rPr>
      </w:pPr>
      <w:r>
        <w:rPr>
          <w:rFonts w:hint="eastAsia" w:ascii="仿宋_GB2312" w:hAnsi="仿宋_GB2312" w:eastAsia="仿宋_GB2312" w:cs="仿宋_GB2312"/>
          <w:b/>
          <w:bCs/>
          <w:szCs w:val="32"/>
          <w:highlight w:val="none"/>
          <w:lang w:eastAsia="zh-CN"/>
        </w:rPr>
        <w:t>一、</w:t>
      </w:r>
      <w:r>
        <w:rPr>
          <w:rFonts w:hint="eastAsia" w:ascii="仿宋_GB2312" w:hAnsi="仿宋_GB2312" w:eastAsia="仿宋_GB2312" w:cs="仿宋_GB2312"/>
          <w:b/>
          <w:bCs/>
          <w:szCs w:val="32"/>
          <w:highlight w:val="none"/>
        </w:rPr>
        <w:t>重点发展基础产业。</w:t>
      </w:r>
      <w:r>
        <w:rPr>
          <w:rFonts w:hint="eastAsia" w:ascii="仿宋_GB2312" w:hAnsi="仿宋_GB2312" w:eastAsia="仿宋_GB2312" w:cs="仿宋_GB2312"/>
          <w:szCs w:val="32"/>
          <w:highlight w:val="none"/>
        </w:rPr>
        <w:t>稳定发展水稻</w:t>
      </w:r>
      <w:r>
        <w:rPr>
          <w:rFonts w:hint="eastAsia" w:ascii="仿宋_GB2312" w:hAnsi="仿宋_GB2312" w:eastAsia="仿宋_GB2312" w:cs="仿宋_GB2312"/>
          <w:szCs w:val="22"/>
          <w:highlight w:val="none"/>
        </w:rPr>
        <w:t>产业，在现有生产规模和生产能力基础上，提升水稻品种、品质、品牌及标准化生产，确保安全有效供给。加强农田水利基础设施建设，优化产业结构和布局，统筹种养协调发展，推进标准化规模化种植。以生猪产业园区建设为抓手，以规模化、标准化、智能化养殖和精深加工为核心，推动生猪产业全链条发展。</w:t>
      </w:r>
      <w:bookmarkStart w:id="424" w:name="_Toc30229"/>
      <w:bookmarkStart w:id="425" w:name="_Toc47714201"/>
      <w:bookmarkStart w:id="426" w:name="_Toc6490"/>
    </w:p>
    <w:p>
      <w:pPr>
        <w:pStyle w:val="17"/>
        <w:ind w:firstLine="643"/>
        <w:rPr>
          <w:rFonts w:hint="eastAsia" w:ascii="仿宋_GB2312" w:hAnsi="仿宋_GB2312" w:eastAsia="仿宋_GB2312" w:cs="仿宋_GB2312"/>
          <w:szCs w:val="22"/>
          <w:highlight w:val="none"/>
        </w:rPr>
      </w:pPr>
      <w:bookmarkStart w:id="427" w:name="_Toc14510"/>
      <w:bookmarkStart w:id="428" w:name="_Toc47714198"/>
      <w:bookmarkStart w:id="429" w:name="_Toc10179"/>
      <w:r>
        <w:rPr>
          <w:rFonts w:hint="eastAsia" w:ascii="仿宋_GB2312" w:hAnsi="仿宋_GB2312" w:eastAsia="仿宋_GB2312" w:cs="仿宋_GB2312"/>
          <w:b/>
          <w:bCs/>
          <w:sz w:val="32"/>
          <w:szCs w:val="32"/>
          <w:highlight w:val="none"/>
          <w:lang w:eastAsia="zh-CN"/>
        </w:rPr>
        <w:t>二、</w:t>
      </w:r>
      <w:r>
        <w:rPr>
          <w:rFonts w:hint="eastAsia" w:ascii="仿宋_GB2312" w:hAnsi="仿宋_GB2312" w:eastAsia="仿宋_GB2312" w:cs="仿宋_GB2312"/>
          <w:b/>
          <w:bCs/>
          <w:sz w:val="32"/>
          <w:szCs w:val="32"/>
          <w:highlight w:val="none"/>
        </w:rPr>
        <w:t>强化优势特色产业</w:t>
      </w:r>
      <w:bookmarkEnd w:id="427"/>
      <w:bookmarkEnd w:id="428"/>
      <w:bookmarkEnd w:id="429"/>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sz w:val="32"/>
          <w:szCs w:val="32"/>
          <w:highlight w:val="none"/>
        </w:rPr>
        <w:t>强化发展水果（荔枝、龙眼、香蕉、三华李等）、蔬菜、水产、畜牧等优势产业，做大做强南药（化橘红、沉香、益智等）、蚕桑等特色产业，</w:t>
      </w:r>
      <w:r>
        <w:rPr>
          <w:rFonts w:hint="eastAsia" w:ascii="仿宋_GB2312" w:hAnsi="仿宋_GB2312" w:eastAsia="仿宋_GB2312" w:cs="仿宋_GB2312"/>
          <w:color w:val="auto"/>
          <w:kern w:val="2"/>
          <w:szCs w:val="32"/>
          <w:highlight w:val="none"/>
        </w:rPr>
        <w:t>依托国家级、省级现代农业产业园</w:t>
      </w:r>
      <w:r>
        <w:rPr>
          <w:rFonts w:hint="eastAsia" w:ascii="仿宋_GB2312" w:hAnsi="仿宋_GB2312" w:eastAsia="仿宋_GB2312" w:cs="仿宋_GB2312"/>
          <w:sz w:val="32"/>
          <w:szCs w:val="32"/>
          <w:highlight w:val="none"/>
        </w:rPr>
        <w:t>加快品种</w:t>
      </w:r>
      <w:r>
        <w:rPr>
          <w:rFonts w:hint="eastAsia" w:ascii="仿宋_GB2312" w:hAnsi="仿宋_GB2312" w:eastAsia="仿宋_GB2312" w:cs="仿宋_GB2312"/>
          <w:sz w:val="32"/>
          <w:szCs w:val="32"/>
          <w:highlight w:val="none"/>
          <w:lang w:bidi="ar"/>
        </w:rPr>
        <w:t>引进与筛选，</w:t>
      </w:r>
      <w:r>
        <w:rPr>
          <w:rFonts w:hint="eastAsia" w:ascii="仿宋_GB2312" w:hAnsi="仿宋_GB2312" w:eastAsia="仿宋_GB2312" w:cs="仿宋_GB2312"/>
          <w:sz w:val="32"/>
          <w:szCs w:val="32"/>
          <w:highlight w:val="none"/>
        </w:rPr>
        <w:t>推进规模化、标准化生产，</w:t>
      </w:r>
      <w:r>
        <w:rPr>
          <w:rFonts w:hint="eastAsia" w:ascii="仿宋_GB2312" w:hAnsi="仿宋_GB2312" w:eastAsia="仿宋_GB2312" w:cs="仿宋_GB2312"/>
          <w:color w:val="auto"/>
          <w:kern w:val="2"/>
          <w:szCs w:val="32"/>
          <w:highlight w:val="none"/>
        </w:rPr>
        <w:t>加快形成优势产业带和优势产区，</w:t>
      </w:r>
      <w:r>
        <w:rPr>
          <w:rFonts w:hint="eastAsia" w:ascii="仿宋_GB2312" w:hAnsi="仿宋_GB2312" w:eastAsia="仿宋_GB2312" w:cs="仿宋_GB2312"/>
          <w:sz w:val="32"/>
          <w:szCs w:val="32"/>
          <w:highlight w:val="none"/>
        </w:rPr>
        <w:t>加强冷链物流处理及保鲜物流运输能力，推进产地批发市场和初加工建设，扩大精深加</w:t>
      </w:r>
      <w:r>
        <w:rPr>
          <w:rFonts w:hint="eastAsia" w:ascii="仿宋_GB2312" w:hAnsi="仿宋_GB2312" w:eastAsia="仿宋_GB2312" w:cs="仿宋_GB2312"/>
          <w:szCs w:val="22"/>
          <w:highlight w:val="none"/>
        </w:rPr>
        <w:t>工，强化技术支撑，加强</w:t>
      </w:r>
      <w:r>
        <w:rPr>
          <w:rFonts w:hint="eastAsia" w:ascii="仿宋_GB2312" w:hAnsi="仿宋_GB2312" w:eastAsia="仿宋_GB2312" w:cs="仿宋_GB2312"/>
          <w:sz w:val="32"/>
          <w:szCs w:val="22"/>
          <w:highlight w:val="none"/>
          <w:lang w:bidi="ar"/>
        </w:rPr>
        <w:t>新“三品（品种、品质、品牌）一标（标准化）”建设，</w:t>
      </w:r>
      <w:r>
        <w:rPr>
          <w:rFonts w:hint="eastAsia" w:ascii="仿宋_GB2312" w:hAnsi="仿宋_GB2312" w:eastAsia="仿宋_GB2312" w:cs="仿宋_GB2312"/>
          <w:sz w:val="32"/>
          <w:szCs w:val="22"/>
          <w:highlight w:val="none"/>
        </w:rPr>
        <w:t>走集约高效、绿色精品之路。</w:t>
      </w:r>
      <w:r>
        <w:rPr>
          <w:rFonts w:hint="eastAsia" w:ascii="仿宋_GB2312" w:hAnsi="仿宋_GB2312" w:eastAsia="仿宋_GB2312" w:cs="仿宋_GB2312"/>
          <w:sz w:val="32"/>
          <w:szCs w:val="32"/>
          <w:highlight w:val="none"/>
        </w:rPr>
        <w:t>积极发展预制菜加工。</w:t>
      </w:r>
    </w:p>
    <w:p>
      <w:pPr>
        <w:spacing w:line="600" w:lineRule="exact"/>
        <w:ind w:firstLine="643" w:firstLineChars="200"/>
        <w:rPr>
          <w:rFonts w:hint="eastAsia" w:hAnsi="仿宋_GB2312" w:eastAsia="仿宋_GB2312" w:cs="仿宋_GB2312"/>
          <w:sz w:val="32"/>
          <w:szCs w:val="32"/>
          <w:highlight w:val="none"/>
        </w:rPr>
      </w:pPr>
      <w:bookmarkStart w:id="430" w:name="_Toc25731"/>
      <w:bookmarkStart w:id="431" w:name="_Toc18753"/>
      <w:bookmarkStart w:id="432" w:name="_Toc47714200"/>
      <w:r>
        <w:rPr>
          <w:rFonts w:hint="eastAsia" w:hAnsi="仿宋_GB2312" w:eastAsia="仿宋_GB2312" w:cs="仿宋_GB2312"/>
          <w:b/>
          <w:bCs/>
          <w:sz w:val="32"/>
          <w:szCs w:val="32"/>
          <w:highlight w:val="none"/>
          <w:lang w:eastAsia="zh-CN"/>
        </w:rPr>
        <w:t>三、</w:t>
      </w:r>
      <w:r>
        <w:rPr>
          <w:rFonts w:hint="eastAsia" w:hAnsi="仿宋_GB2312" w:eastAsia="仿宋_GB2312" w:cs="仿宋_GB2312"/>
          <w:b/>
          <w:bCs/>
          <w:sz w:val="32"/>
          <w:szCs w:val="32"/>
          <w:highlight w:val="none"/>
        </w:rPr>
        <w:t>做强关联产业</w:t>
      </w:r>
      <w:bookmarkEnd w:id="430"/>
      <w:bookmarkEnd w:id="431"/>
      <w:bookmarkEnd w:id="432"/>
      <w:r>
        <w:rPr>
          <w:rFonts w:hint="eastAsia" w:hAnsi="仿宋_GB2312" w:eastAsia="仿宋_GB2312" w:cs="仿宋_GB2312"/>
          <w:b/>
          <w:bCs/>
          <w:sz w:val="32"/>
          <w:szCs w:val="32"/>
          <w:highlight w:val="none"/>
        </w:rPr>
        <w:t>。</w:t>
      </w:r>
      <w:r>
        <w:rPr>
          <w:rFonts w:hint="eastAsia" w:hAnsi="仿宋_GB2312" w:eastAsia="仿宋_GB2312" w:cs="仿宋_GB2312"/>
          <w:sz w:val="32"/>
          <w:szCs w:val="32"/>
          <w:highlight w:val="none"/>
        </w:rPr>
        <w:t>促进农产品加工业和农村电商发展，提升现代物流业，推进三产融合，延伸产业链。大力发展休闲农业，加强农业特色资源、农耕文化与休闲旅游的结合，提高茂名休闲农业与乡村旅游在省内外的知名度和竞争力。</w:t>
      </w:r>
    </w:p>
    <w:p>
      <w:pPr>
        <w:spacing w:line="600" w:lineRule="exact"/>
        <w:ind w:firstLine="640" w:firstLineChars="200"/>
        <w:rPr>
          <w:rFonts w:hint="eastAsia" w:hAnsi="仿宋_GB2312" w:eastAsia="仿宋_GB2312" w:cs="仿宋_GB2312"/>
          <w:sz w:val="32"/>
          <w:szCs w:val="3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433" w:name="_Toc15005"/>
      <w:bookmarkStart w:id="434" w:name="_Toc28787"/>
      <w:bookmarkStart w:id="435" w:name="_Toc24911"/>
      <w:bookmarkStart w:id="436" w:name="_Toc19644"/>
      <w:bookmarkStart w:id="437" w:name="_Toc8562"/>
      <w:bookmarkStart w:id="438" w:name="_Toc22096"/>
      <w:bookmarkStart w:id="439" w:name="_Toc11193"/>
      <w:bookmarkStart w:id="440" w:name="_Toc4364"/>
      <w:bookmarkStart w:id="441" w:name="_Toc3654"/>
      <w:bookmarkStart w:id="442" w:name="_Toc21914"/>
      <w:bookmarkStart w:id="443" w:name="_Toc16758"/>
      <w:bookmarkStart w:id="444" w:name="_Toc2971"/>
      <w:bookmarkStart w:id="445" w:name="_Toc11411"/>
      <w:bookmarkStart w:id="446" w:name="_Toc27751"/>
      <w:bookmarkStart w:id="447" w:name="_Toc19967"/>
      <w:r>
        <w:rPr>
          <w:rFonts w:ascii="Times New Roman" w:hAnsi="Times New Roman" w:eastAsia="黑体"/>
          <w:b w:val="0"/>
          <w:bCs w:val="0"/>
          <w:sz w:val="32"/>
          <w:highlight w:val="none"/>
        </w:rPr>
        <w:t>第二节  重点产业发展布局</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spacing w:line="600" w:lineRule="exact"/>
        <w:ind w:firstLine="640" w:firstLineChars="200"/>
        <w:rPr>
          <w:rFonts w:hint="eastAsia" w:hAnsi="仿宋_GB2312" w:eastAsia="仿宋_GB2312" w:cs="仿宋_GB2312"/>
          <w:color w:val="auto"/>
          <w:kern w:val="0"/>
          <w:sz w:val="32"/>
          <w:szCs w:val="22"/>
          <w:highlight w:val="none"/>
        </w:rPr>
      </w:pPr>
      <w:bookmarkStart w:id="448" w:name="_Toc23493"/>
      <w:bookmarkStart w:id="449" w:name="_Toc47714203"/>
      <w:bookmarkStart w:id="450" w:name="_Toc32463"/>
      <w:bookmarkStart w:id="451" w:name="_Toc31"/>
      <w:bookmarkStart w:id="452" w:name="_Toc47714202"/>
      <w:bookmarkStart w:id="453" w:name="_Toc30849"/>
      <w:r>
        <w:rPr>
          <w:rFonts w:hint="eastAsia" w:hAnsi="仿宋_GB2312" w:eastAsia="仿宋_GB2312" w:cs="仿宋_GB2312"/>
          <w:kern w:val="0"/>
          <w:sz w:val="32"/>
          <w:szCs w:val="22"/>
          <w:highlight w:val="none"/>
        </w:rPr>
        <w:t>根据当前茂名市资源禀赋、产业发展基础以及未来发展方向，</w:t>
      </w:r>
      <w:r>
        <w:rPr>
          <w:rFonts w:hint="eastAsia" w:hAnsi="仿宋_GB2312" w:eastAsia="仿宋_GB2312" w:cs="仿宋_GB2312"/>
          <w:color w:val="auto"/>
          <w:kern w:val="0"/>
          <w:sz w:val="32"/>
          <w:szCs w:val="22"/>
          <w:highlight w:val="none"/>
        </w:rPr>
        <w:t>紧紧围绕“五棵树一条鱼一桌菜”，即荔枝、龙眼、化橘红、沉香、三华李“五棵树”、罗非鱼“一条鱼”和预制菜“一桌菜”，</w:t>
      </w:r>
      <w:r>
        <w:rPr>
          <w:rFonts w:hint="eastAsia" w:hAnsi="仿宋_GB2312" w:eastAsia="仿宋_GB2312" w:cs="仿宋_GB2312"/>
          <w:kern w:val="0"/>
          <w:sz w:val="32"/>
          <w:szCs w:val="22"/>
          <w:highlight w:val="none"/>
        </w:rPr>
        <w:t>优化基础产业、优势产业、特色产业的地理布局和发展方向布局，建成优质稻米产业保护区、“菜篮子”保障基地、优质水果产业带和</w:t>
      </w:r>
      <w:r>
        <w:rPr>
          <w:rFonts w:hint="eastAsia" w:ascii="仿宋_GB2312" w:hAnsi="仿宋_GB2312" w:eastAsia="仿宋_GB2312" w:cs="仿宋_GB2312"/>
          <w:sz w:val="32"/>
          <w:szCs w:val="32"/>
          <w:highlight w:val="none"/>
        </w:rPr>
        <w:t>亚</w:t>
      </w:r>
      <w:r>
        <w:rPr>
          <w:rFonts w:hint="eastAsia" w:hAnsi="仿宋_GB2312" w:eastAsia="仿宋_GB2312" w:cs="仿宋_GB2312"/>
          <w:kern w:val="0"/>
          <w:sz w:val="32"/>
          <w:szCs w:val="22"/>
          <w:highlight w:val="none"/>
        </w:rPr>
        <w:t>热带水果高效发展区、</w:t>
      </w:r>
      <w:r>
        <w:rPr>
          <w:rFonts w:hint="eastAsia" w:hAnsi="仿宋_GB2312" w:eastAsia="仿宋_GB2312" w:cs="仿宋_GB2312"/>
          <w:color w:val="auto"/>
          <w:kern w:val="0"/>
          <w:sz w:val="32"/>
          <w:szCs w:val="22"/>
          <w:highlight w:val="none"/>
        </w:rPr>
        <w:t>水产优势特色产业集群、道地南药优势产区、预制菜发展优势区。</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454" w:name="_Toc32625"/>
      <w:bookmarkStart w:id="455" w:name="_Toc32149"/>
      <w:bookmarkStart w:id="456" w:name="_Toc7388"/>
      <w:bookmarkStart w:id="457" w:name="_Toc11528"/>
      <w:bookmarkStart w:id="458" w:name="_Toc19857"/>
      <w:bookmarkStart w:id="459" w:name="_Toc17783"/>
      <w:bookmarkStart w:id="460" w:name="_Toc16417"/>
      <w:bookmarkStart w:id="461" w:name="_Toc21728"/>
      <w:bookmarkStart w:id="462" w:name="_Toc26824"/>
      <w:bookmarkStart w:id="463" w:name="_Toc13732"/>
      <w:bookmarkStart w:id="464" w:name="_Toc25791"/>
      <w:bookmarkStart w:id="465" w:name="_Toc5755"/>
      <w:bookmarkStart w:id="466" w:name="_Toc2687"/>
      <w:bookmarkStart w:id="467" w:name="_Toc29034"/>
      <w:bookmarkStart w:id="468" w:name="_Toc13095"/>
      <w:r>
        <w:rPr>
          <w:rFonts w:hint="eastAsia" w:ascii="黑体" w:hAnsi="黑体" w:eastAsia="黑体" w:cs="黑体"/>
          <w:b w:val="0"/>
          <w:bCs w:val="0"/>
          <w:highlight w:val="none"/>
        </w:rPr>
        <w:t>一、优质粮油产业</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spacing w:line="600" w:lineRule="exact"/>
        <w:ind w:firstLine="640" w:firstLineChars="200"/>
        <w:rPr>
          <w:rFonts w:hint="eastAsia" w:hAnsi="仿宋_GB2312" w:eastAsia="仿宋_GB2312" w:cs="仿宋_GB2312"/>
          <w:kern w:val="0"/>
          <w:sz w:val="32"/>
          <w:szCs w:val="22"/>
          <w:highlight w:val="none"/>
        </w:rPr>
      </w:pPr>
      <w:r>
        <w:rPr>
          <w:rFonts w:hint="eastAsia" w:ascii="仿宋_GB2312" w:hAnsi="仿宋_GB2312" w:eastAsia="仿宋_GB2312" w:cs="仿宋_GB2312"/>
          <w:sz w:val="32"/>
          <w:szCs w:val="22"/>
          <w:highlight w:val="none"/>
        </w:rPr>
        <w:t>按照“稳粮增效”的发展思路，实行粮食安全党政同责，全面落实粮食生产责任制，强化政策扶持，加强新品种、新技术、新模式示范应用，促进粮食和油料作物生产稳定。推进优质粮食工程，发展玉米、番薯、马铃薯等旱粮。坚持产量、质量与效益并举，鼓励和支持规模经营主体种植优质品种，开展粮食加工及品牌化营销，延长产业链条。进一步推进水稻核心区的商</w:t>
      </w:r>
      <w:r>
        <w:rPr>
          <w:rFonts w:hint="eastAsia" w:hAnsi="仿宋_GB2312" w:eastAsia="仿宋_GB2312" w:cs="仿宋_GB2312"/>
          <w:kern w:val="0"/>
          <w:sz w:val="32"/>
          <w:szCs w:val="22"/>
          <w:highlight w:val="none"/>
        </w:rPr>
        <w:t>品粮基地建设，在全市</w:t>
      </w:r>
      <w:r>
        <w:rPr>
          <w:rFonts w:hint="eastAsia" w:ascii="仿宋_GB2312" w:hAnsi="仿宋_GB2312" w:eastAsia="仿宋_GB2312" w:cs="仿宋_GB2312"/>
          <w:sz w:val="32"/>
          <w:szCs w:val="22"/>
          <w:highlight w:val="none"/>
        </w:rPr>
        <w:t>水稻优势产区选择基地条件好、相对连片的重点镇建立现代优质稻米产业示范区，促进水稻生产布局向重点发展区集中。“十四五”期间，水稻播种面</w:t>
      </w:r>
      <w:r>
        <w:rPr>
          <w:rFonts w:hint="eastAsia" w:hAnsi="仿宋_GB2312" w:eastAsia="仿宋_GB2312" w:cs="仿宋_GB2312"/>
          <w:kern w:val="0"/>
          <w:sz w:val="32"/>
          <w:szCs w:val="22"/>
          <w:highlight w:val="none"/>
        </w:rPr>
        <w:t>积稳定在300万亩左右，保障市场供给稳定，坚持口粮自给率不降低。逐步优化品种和提升品质，到2025年，优质稻面积发展到210万亩，优质率达70%。花生播种面积稳定在67万亩左右，总产量在14万吨左右。</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水稻核心发展区</w:t>
      </w:r>
      <w:r>
        <w:rPr>
          <w:rFonts w:hint="eastAsia" w:hAnsi="仿宋_GB2312" w:eastAsia="仿宋_GB2312" w:cs="仿宋_GB2312"/>
          <w:kern w:val="0"/>
          <w:sz w:val="32"/>
          <w:szCs w:val="22"/>
          <w:highlight w:val="none"/>
        </w:rPr>
        <w:t>：茂南区金塘镇、鳌头镇；电白区马踏镇、岭门镇、麻岗镇；信宜市池垌镇、怀乡镇、镇隆镇、水口镇、洪冠镇；高州市石鼓镇、镇江镇、石板镇；化州市那务镇、合江镇。</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花生核心发展区</w:t>
      </w:r>
      <w:r>
        <w:rPr>
          <w:rFonts w:hint="eastAsia" w:hAnsi="仿宋_GB2312" w:eastAsia="仿宋_GB2312" w:cs="仿宋_GB2312"/>
          <w:kern w:val="0"/>
          <w:sz w:val="32"/>
          <w:szCs w:val="22"/>
          <w:highlight w:val="none"/>
        </w:rPr>
        <w:t>：茂南区羊角</w:t>
      </w:r>
      <w:r>
        <w:rPr>
          <w:rFonts w:hint="eastAsia" w:ascii="仿宋_GB2312" w:hAnsi="仿宋_GB2312" w:eastAsia="仿宋_GB2312" w:cs="仿宋_GB2312"/>
          <w:sz w:val="32"/>
          <w:szCs w:val="22"/>
          <w:highlight w:val="none"/>
        </w:rPr>
        <w:t>镇、袂花镇；电白区林头镇、坡心镇、沙琅镇、沙院镇；高州市石鼓镇、镇江镇。</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469" w:name="_Toc20673"/>
      <w:bookmarkStart w:id="470" w:name="_Toc15608"/>
      <w:bookmarkStart w:id="471" w:name="_Toc17861"/>
      <w:bookmarkStart w:id="472" w:name="_Toc2061"/>
      <w:bookmarkStart w:id="473" w:name="_Toc9020"/>
      <w:bookmarkStart w:id="474" w:name="_Toc32634"/>
      <w:bookmarkStart w:id="475" w:name="_Toc21475"/>
      <w:bookmarkStart w:id="476" w:name="_Toc27523"/>
      <w:bookmarkStart w:id="477" w:name="_Toc21191"/>
      <w:bookmarkStart w:id="478" w:name="_Toc23310"/>
      <w:bookmarkStart w:id="479" w:name="_Toc11670"/>
      <w:bookmarkStart w:id="480" w:name="_Toc25342"/>
      <w:bookmarkStart w:id="481" w:name="_Toc18302"/>
      <w:bookmarkStart w:id="482" w:name="_Toc19275"/>
      <w:bookmarkStart w:id="483" w:name="_Toc3424"/>
      <w:r>
        <w:rPr>
          <w:rFonts w:hint="eastAsia" w:ascii="黑体" w:hAnsi="黑体" w:eastAsia="黑体" w:cs="黑体"/>
          <w:b w:val="0"/>
          <w:bCs w:val="0"/>
          <w:highlight w:val="none"/>
        </w:rPr>
        <w:t>二、畜牧产业</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17"/>
        <w:ind w:firstLine="640"/>
        <w:rPr>
          <w:rFonts w:hint="eastAsia" w:ascii="仿宋_GB2312" w:hAnsi="仿宋_GB2312" w:eastAsia="仿宋_GB2312" w:cs="仿宋_GB2312"/>
          <w:kern w:val="0"/>
          <w:szCs w:val="22"/>
          <w:highlight w:val="none"/>
        </w:rPr>
      </w:pPr>
      <w:r>
        <w:rPr>
          <w:rFonts w:hint="eastAsia" w:ascii="仿宋_GB2312" w:hAnsi="仿宋_GB2312" w:eastAsia="仿宋_GB2312" w:cs="仿宋_GB2312"/>
          <w:kern w:val="0"/>
          <w:szCs w:val="22"/>
          <w:highlight w:val="none"/>
        </w:rPr>
        <w:t>加快推进畜牧产业转型升级。规划以国道207为纵轴线，连通省道285、283线（信宜、高州、化州沿线有关镇和街道）打造生猪优势产业</w:t>
      </w:r>
      <w:r>
        <w:rPr>
          <w:rFonts w:hint="eastAsia" w:ascii="仿宋_GB2312" w:hAnsi="仿宋_GB2312" w:eastAsia="仿宋_GB2312" w:cs="仿宋_GB2312"/>
          <w:szCs w:val="22"/>
          <w:highlight w:val="none"/>
        </w:rPr>
        <w:t>带，以全产业链发展为主线，实施种猪繁育、商品肉猪、屠宰加工、废弃物资源化、支撑体系建设等五大工程。按照“畜禽良种化、生产规范化、防疫制度化、养殖设施化、粪污资源化和监管常态化”的标准要求，大力推进标准化养殖小区（场）建设，逐步构建以大型养殖场为引</w:t>
      </w:r>
      <w:r>
        <w:rPr>
          <w:rFonts w:hint="eastAsia" w:ascii="仿宋_GB2312" w:hAnsi="仿宋_GB2312" w:eastAsia="仿宋_GB2312" w:cs="仿宋_GB2312"/>
          <w:kern w:val="0"/>
          <w:szCs w:val="22"/>
          <w:highlight w:val="none"/>
        </w:rPr>
        <w:t>领、</w:t>
      </w:r>
      <w:r>
        <w:rPr>
          <w:rFonts w:hint="eastAsia" w:ascii="仿宋_GB2312" w:hAnsi="仿宋_GB2312" w:eastAsia="仿宋_GB2312" w:cs="仿宋_GB2312"/>
          <w:szCs w:val="22"/>
          <w:highlight w:val="none"/>
        </w:rPr>
        <w:t>以适度规模养殖小区为主体、以种养结合型家庭牧场为补充的生猪规模化生产体系。深入开展畜禽养殖标准化示范场创建和美丽牧场评选活动，创建一批可复制、可推广的标准化示范养殖小区（场）。大力推进畜禽粪污资源化利用整县推进项目，支持推广清洁养殖和粪污全量收集处理利用技术模式，扶持发展第三方服务业和有机肥产业，构建主体小循环、区域中循环、县域大循环的生态循环体系，促进种养业循环发展。加快推进互联网、物联网、人工智能等技术与生猪产业深度融合，建设基础数据资源体系，推进养殖场数据直联直报，实行智能化管理。加大对小耳花猪等地方特色猪种的保护力度。重点培育一批畜禽养殖全产业链的龙头企业，积极推广“市或县域集中屠宰、冷链配送、乡镇分销”的经营模式，加快建立冷鲜肉品流通和配送体系，推进畜禽养殖一二三产业融合发展。从而推动生猪产业由小散养殖向标准化规模化养殖转型、粗放养殖向绿色科学养殖转型</w:t>
      </w:r>
      <w:r>
        <w:rPr>
          <w:rFonts w:hint="eastAsia" w:ascii="仿宋_GB2312" w:hAnsi="仿宋_GB2312" w:eastAsia="仿宋_GB2312" w:cs="仿宋_GB2312"/>
          <w:kern w:val="0"/>
          <w:szCs w:val="22"/>
          <w:highlight w:val="none"/>
        </w:rPr>
        <w:t>、小型屠宰厂（场）向现代化屠宰企业转型、调畜禽向调肉品转</w:t>
      </w:r>
      <w:r>
        <w:rPr>
          <w:rFonts w:hint="eastAsia" w:ascii="仿宋_GB2312" w:hAnsi="仿宋_GB2312" w:eastAsia="仿宋_GB2312" w:cs="仿宋_GB2312"/>
          <w:szCs w:val="22"/>
          <w:highlight w:val="none"/>
        </w:rPr>
        <w:t>型“四个转型”。</w:t>
      </w:r>
      <w:r>
        <w:rPr>
          <w:rFonts w:hint="eastAsia" w:ascii="仿宋_GB2312" w:hAnsi="仿宋_GB2312" w:eastAsia="仿宋_GB2312" w:cs="仿宋_GB2312"/>
          <w:kern w:val="0"/>
          <w:szCs w:val="22"/>
          <w:highlight w:val="none"/>
        </w:rPr>
        <w:t>从2021年起全市生猪年末存栏量保持在304.5万头以上，到2025年，全市建设3个10万头以上生猪养殖场（基地），20个万头以上生猪养殖场（基地），规模养殖占比60%以上；全市生猪定点屠宰厂（场）数量不超过26个，建设10个以上标准化屠宰企业，5个以上养殖、屠宰、加工、配送全产业链示范企业，规模企业屠宰量占比90%以上，全市冷鲜冷冻肉品供应占比30%以上，打造超百亿生猪产业；建成8个省级现代化美丽牧场，畜禽粪污综合利用率达到80%以上。同时，重点建设一批草地规模较大、养殖基地较好、发展优势明显、示范带动能力较强的草食动物生态养殖基地。电白、信宜、高州、化州的山区，重点发展以高山牛羊肉为特色的草地畜牧业；信宜北部山区发展种养结合的肉兔养殖。</w:t>
      </w:r>
    </w:p>
    <w:p>
      <w:pPr>
        <w:pStyle w:val="17"/>
        <w:ind w:firstLine="643"/>
        <w:rPr>
          <w:rFonts w:hint="eastAsia" w:ascii="仿宋_GB2312" w:hAnsi="仿宋_GB2312" w:eastAsia="仿宋_GB2312" w:cs="仿宋_GB2312"/>
          <w:kern w:val="0"/>
          <w:szCs w:val="22"/>
          <w:highlight w:val="none"/>
        </w:rPr>
      </w:pPr>
      <w:r>
        <w:rPr>
          <w:rFonts w:hint="eastAsia" w:ascii="仿宋_GB2312" w:hAnsi="仿宋_GB2312" w:eastAsia="仿宋_GB2312" w:cs="仿宋_GB2312"/>
          <w:b/>
          <w:bCs/>
          <w:kern w:val="0"/>
          <w:szCs w:val="22"/>
          <w:highlight w:val="none"/>
        </w:rPr>
        <w:t>生猪核心发展区</w:t>
      </w:r>
      <w:r>
        <w:rPr>
          <w:rFonts w:hint="eastAsia" w:ascii="仿宋_GB2312" w:hAnsi="仿宋_GB2312" w:eastAsia="仿宋_GB2312" w:cs="仿宋_GB2312"/>
          <w:kern w:val="0"/>
          <w:szCs w:val="22"/>
          <w:highlight w:val="none"/>
        </w:rPr>
        <w:t>：高州市宝光街道、石鼓镇、镇江镇、沙田镇、石板镇、荷花镇；化州市江湖镇、林尘镇、合江镇、文楼镇、平定镇、新安镇；信宜市水口镇、北界镇、金垌镇、朱砂镇、怀乡镇、丁堡镇、平塘镇；电白区国道325沿线有关镇。</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484" w:name="_Toc3590"/>
      <w:bookmarkStart w:id="485" w:name="_Toc5714"/>
      <w:bookmarkStart w:id="486" w:name="_Toc19317"/>
      <w:bookmarkStart w:id="487" w:name="_Toc32579"/>
      <w:bookmarkStart w:id="488" w:name="_Toc24083"/>
      <w:bookmarkStart w:id="489" w:name="_Toc22668"/>
      <w:bookmarkStart w:id="490" w:name="_Toc5624"/>
      <w:bookmarkStart w:id="491" w:name="_Toc24665"/>
      <w:bookmarkStart w:id="492" w:name="_Toc4307"/>
      <w:bookmarkStart w:id="493" w:name="_Toc2108"/>
      <w:bookmarkStart w:id="494" w:name="_Toc25722"/>
      <w:bookmarkStart w:id="495" w:name="_Toc31263"/>
      <w:bookmarkStart w:id="496" w:name="_Toc9942"/>
      <w:bookmarkStart w:id="497" w:name="_Toc8985"/>
      <w:bookmarkStart w:id="498" w:name="_Toc7573"/>
      <w:r>
        <w:rPr>
          <w:rFonts w:hint="eastAsia" w:ascii="黑体" w:hAnsi="黑体" w:eastAsia="黑体" w:cs="黑体"/>
          <w:b w:val="0"/>
          <w:bCs w:val="0"/>
          <w:highlight w:val="none"/>
        </w:rPr>
        <w:t>三、家禽产业</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17"/>
        <w:ind w:firstLine="640"/>
        <w:rPr>
          <w:rFonts w:hint="eastAsia" w:ascii="仿宋_GB2312" w:hAnsi="仿宋_GB2312" w:eastAsia="仿宋_GB2312" w:cs="仿宋_GB2312"/>
          <w:kern w:val="0"/>
          <w:szCs w:val="22"/>
          <w:highlight w:val="none"/>
        </w:rPr>
      </w:pPr>
      <w:r>
        <w:rPr>
          <w:rFonts w:hint="eastAsia" w:ascii="仿宋_GB2312" w:hAnsi="仿宋_GB2312" w:eastAsia="仿宋_GB2312" w:cs="仿宋_GB2312"/>
          <w:kern w:val="0"/>
          <w:szCs w:val="22"/>
          <w:highlight w:val="none"/>
        </w:rPr>
        <w:t>统筹资源环境承载能力，突出“调整、创新、升级”主题，巩固提升家禽优势产业。以茂名市优质地方家禽品种为素材，加强选种选育，逐步建立结构合理、层次分明、相互配套的家禽良种繁育推广体系。鼓励信宜怀乡鸡的遗传资源研究与品种选育。大力推进家禽标准化规模养殖场建设，提高标准化养殖水平。加快培育一批带动力较强的家禽龙头企业，积极探索建立多种合作机制和利益联结机制，提高家禽产业化经营水平。支持高州市蛋鸡、茂南区和高州市肉鸽、番鸭及电白区麻鸭和海鸭蛋做大做强，培育和创建一批旗舰型家禽企业；支持化州、茂南平原和水网地区发展肉鹅养殖。2021年起全市家禽年出栏量保持在1.5亿羽以上，禽蛋产量8万吨以上。</w:t>
      </w:r>
    </w:p>
    <w:p>
      <w:pPr>
        <w:pStyle w:val="17"/>
        <w:ind w:firstLine="643"/>
        <w:rPr>
          <w:rFonts w:hint="eastAsia" w:ascii="仿宋_GB2312" w:hAnsi="仿宋_GB2312" w:eastAsia="仿宋_GB2312" w:cs="仿宋_GB2312"/>
          <w:kern w:val="0"/>
          <w:szCs w:val="22"/>
          <w:highlight w:val="none"/>
        </w:rPr>
      </w:pPr>
      <w:r>
        <w:rPr>
          <w:rFonts w:hint="eastAsia" w:ascii="仿宋_GB2312" w:hAnsi="仿宋_GB2312" w:eastAsia="仿宋_GB2312" w:cs="仿宋_GB2312"/>
          <w:b/>
          <w:bCs/>
          <w:kern w:val="0"/>
          <w:szCs w:val="22"/>
          <w:highlight w:val="none"/>
        </w:rPr>
        <w:t>肉鸡核心发展区</w:t>
      </w:r>
      <w:r>
        <w:rPr>
          <w:rFonts w:hint="eastAsia" w:ascii="仿宋_GB2312" w:hAnsi="仿宋_GB2312" w:eastAsia="仿宋_GB2312" w:cs="仿宋_GB2312"/>
          <w:kern w:val="0"/>
          <w:szCs w:val="22"/>
          <w:highlight w:val="none"/>
        </w:rPr>
        <w:t>：茂南区公馆镇；电白区霞洞镇、坡心镇、岭门镇、观珠镇、沙琅镇、黄岭镇；高州市石板镇、荷花镇、长坡镇；化州市杨梅镇；信宜市镇隆镇、水口镇、东镇街道、池洞镇、朱砂镇、怀乡镇、白石镇、大成镇、北界镇、金垌镇、丁堡镇。</w:t>
      </w:r>
    </w:p>
    <w:p>
      <w:pPr>
        <w:pStyle w:val="17"/>
        <w:ind w:firstLine="643"/>
        <w:rPr>
          <w:rFonts w:hint="eastAsia" w:ascii="仿宋_GB2312" w:hAnsi="仿宋_GB2312" w:eastAsia="仿宋_GB2312" w:cs="仿宋_GB2312"/>
          <w:kern w:val="0"/>
          <w:szCs w:val="22"/>
          <w:highlight w:val="none"/>
        </w:rPr>
      </w:pPr>
      <w:r>
        <w:rPr>
          <w:rFonts w:hint="eastAsia" w:ascii="仿宋_GB2312" w:hAnsi="仿宋_GB2312" w:eastAsia="仿宋_GB2312" w:cs="仿宋_GB2312"/>
          <w:b/>
          <w:bCs/>
          <w:kern w:val="0"/>
          <w:szCs w:val="22"/>
          <w:highlight w:val="none"/>
        </w:rPr>
        <w:t>蛋鸡核心发展区</w:t>
      </w:r>
      <w:r>
        <w:rPr>
          <w:rFonts w:hint="eastAsia" w:ascii="仿宋_GB2312" w:hAnsi="仿宋_GB2312" w:eastAsia="仿宋_GB2312" w:cs="仿宋_GB2312"/>
          <w:kern w:val="0"/>
          <w:szCs w:val="22"/>
          <w:highlight w:val="none"/>
        </w:rPr>
        <w:t>：电白区霞洞镇、坡心镇、林头镇、小良镇、那霍镇、岭门镇；高州市大井镇、东岸镇、南塘镇、曹江镇；化州市宝圩镇；信宜市镇隆镇。</w:t>
      </w:r>
    </w:p>
    <w:p>
      <w:pPr>
        <w:pStyle w:val="17"/>
        <w:ind w:firstLine="643"/>
        <w:rPr>
          <w:rFonts w:hint="eastAsia" w:ascii="仿宋_GB2312" w:hAnsi="仿宋_GB2312" w:eastAsia="仿宋_GB2312" w:cs="仿宋_GB2312"/>
          <w:kern w:val="0"/>
          <w:szCs w:val="22"/>
          <w:highlight w:val="none"/>
        </w:rPr>
      </w:pPr>
      <w:r>
        <w:rPr>
          <w:rFonts w:hint="eastAsia" w:ascii="仿宋_GB2312" w:hAnsi="仿宋_GB2312" w:eastAsia="仿宋_GB2312" w:cs="仿宋_GB2312"/>
          <w:b/>
          <w:bCs/>
          <w:kern w:val="0"/>
          <w:szCs w:val="22"/>
          <w:highlight w:val="none"/>
        </w:rPr>
        <w:t>鸽子核心发展区</w:t>
      </w:r>
      <w:r>
        <w:rPr>
          <w:rFonts w:hint="eastAsia" w:ascii="仿宋_GB2312" w:hAnsi="仿宋_GB2312" w:eastAsia="仿宋_GB2312" w:cs="仿宋_GB2312"/>
          <w:kern w:val="0"/>
          <w:szCs w:val="22"/>
          <w:highlight w:val="none"/>
        </w:rPr>
        <w:t>：茂南区金塘镇；电白区霞洞镇、坡心镇、林头镇、沙琅镇；高州市大井镇、石板镇、曹江镇。</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499" w:name="_Toc22476"/>
      <w:bookmarkStart w:id="500" w:name="_Toc6076"/>
      <w:bookmarkStart w:id="501" w:name="_Toc4433"/>
      <w:bookmarkStart w:id="502" w:name="_Toc21241"/>
      <w:bookmarkStart w:id="503" w:name="_Toc532"/>
      <w:bookmarkStart w:id="504" w:name="_Toc18915"/>
      <w:bookmarkStart w:id="505" w:name="_Toc17014"/>
      <w:bookmarkStart w:id="506" w:name="_Toc4164"/>
      <w:bookmarkStart w:id="507" w:name="_Toc28710"/>
      <w:bookmarkStart w:id="508" w:name="_Toc13192"/>
      <w:bookmarkStart w:id="509" w:name="_Toc1716"/>
      <w:bookmarkStart w:id="510" w:name="_Toc27633"/>
      <w:bookmarkStart w:id="511" w:name="_Toc19478"/>
      <w:bookmarkStart w:id="512" w:name="_Toc22276"/>
      <w:bookmarkStart w:id="513" w:name="_Toc25885"/>
      <w:r>
        <w:rPr>
          <w:rFonts w:hint="eastAsia" w:ascii="黑体" w:hAnsi="黑体" w:eastAsia="黑体" w:cs="黑体"/>
          <w:b w:val="0"/>
          <w:bCs w:val="0"/>
          <w:highlight w:val="none"/>
        </w:rPr>
        <w:t>四、亚热带水果产业</w:t>
      </w:r>
      <w:bookmarkEnd w:id="448"/>
      <w:bookmarkEnd w:id="449"/>
      <w:bookmarkEnd w:id="450"/>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spacing w:line="600" w:lineRule="exact"/>
        <w:ind w:firstLine="640" w:firstLineChars="200"/>
        <w:rPr>
          <w:rFonts w:hint="eastAsia" w:hAnsi="仿宋_GB2312" w:eastAsia="仿宋_GB2312" w:cs="仿宋_GB2312"/>
          <w:color w:val="auto"/>
          <w:kern w:val="0"/>
          <w:sz w:val="32"/>
          <w:szCs w:val="22"/>
          <w:highlight w:val="none"/>
        </w:rPr>
      </w:pPr>
      <w:r>
        <w:rPr>
          <w:rFonts w:hint="eastAsia" w:hAnsi="仿宋_GB2312" w:eastAsia="仿宋_GB2312" w:cs="仿宋_GB2312"/>
          <w:kern w:val="0"/>
          <w:sz w:val="32"/>
          <w:szCs w:val="22"/>
          <w:highlight w:val="none"/>
        </w:rPr>
        <w:t>充分利用热带亚热带气候资源优势，稳定水果生产，常年种植面积保持在350万亩左右，多措并举推动荔枝、龙眼、三华李等特色岭南佳果高质量发展。贯彻落实省委关于打好荔枝“四张牌”</w:t>
      </w:r>
      <w:r>
        <w:rPr>
          <w:rStyle w:val="16"/>
          <w:rFonts w:hint="eastAsia" w:hAnsi="仿宋_GB2312" w:eastAsia="仿宋_GB2312" w:cs="仿宋_GB2312"/>
          <w:kern w:val="0"/>
          <w:sz w:val="32"/>
          <w:szCs w:val="22"/>
          <w:highlight w:val="none"/>
        </w:rPr>
        <w:footnoteReference w:id="6"/>
      </w:r>
      <w:r>
        <w:rPr>
          <w:rFonts w:hint="eastAsia" w:hAnsi="仿宋_GB2312" w:eastAsia="仿宋_GB2312" w:cs="仿宋_GB2312"/>
          <w:kern w:val="0"/>
          <w:sz w:val="32"/>
          <w:szCs w:val="22"/>
          <w:highlight w:val="none"/>
        </w:rPr>
        <w:t>的指示，依托茂名市荔枝国家现代农业产业园、茂名市荔枝优势产区产业园和广东荔枝跨县集群产业园，加快推进“一会一址一馆一圃一网一站”</w:t>
      </w:r>
      <w:r>
        <w:rPr>
          <w:rStyle w:val="16"/>
          <w:rFonts w:hint="eastAsia" w:hAnsi="仿宋_GB2312" w:eastAsia="仿宋_GB2312" w:cs="仿宋_GB2312"/>
          <w:kern w:val="0"/>
          <w:sz w:val="32"/>
          <w:szCs w:val="22"/>
          <w:highlight w:val="none"/>
        </w:rPr>
        <w:footnoteReference w:id="7"/>
      </w:r>
      <w:r>
        <w:rPr>
          <w:rFonts w:hint="eastAsia" w:hAnsi="仿宋_GB2312" w:eastAsia="仿宋_GB2312" w:cs="仿宋_GB2312"/>
          <w:kern w:val="0"/>
          <w:sz w:val="32"/>
          <w:szCs w:val="22"/>
          <w:highlight w:val="none"/>
        </w:rPr>
        <w:t>建设。加快茂名（高州）生产基地（原荔枝原浆项目）项目落地投产，推进荔枝生产托管服务，推动荔枝全产业链发展，形成全国最具竞争力的荔枝优势产业带，使“茂名荔枝”成为全国知名区域品牌。</w:t>
      </w:r>
      <w:r>
        <w:rPr>
          <w:rFonts w:hint="eastAsia" w:hAnsi="仿宋_GB2312" w:eastAsia="仿宋_GB2312" w:cs="仿宋_GB2312"/>
          <w:color w:val="auto"/>
          <w:kern w:val="0"/>
          <w:sz w:val="32"/>
          <w:szCs w:val="22"/>
          <w:highlight w:val="none"/>
        </w:rPr>
        <w:t>加快品种结构调整优化，积极推进品种改良，实现早、中、迟熟品种合理搭配。</w:t>
      </w:r>
      <w:r>
        <w:rPr>
          <w:rFonts w:hint="eastAsia" w:hAnsi="仿宋_GB2312" w:eastAsia="仿宋_GB2312" w:cs="仿宋_GB2312"/>
          <w:kern w:val="0"/>
          <w:sz w:val="32"/>
          <w:szCs w:val="22"/>
          <w:highlight w:val="none"/>
        </w:rPr>
        <w:t>大力推进龙眼标准化种植示范区、龙眼加工核心区和龙眼集散物流区建设，打造广东省龙眼名牌产品。依托三华李省级现代农业产业园，将信宜打造成全国三华李产业发展中心、全省三华李全产业链融合创新发展区、全省山区农业富民强镇与乡村振兴样板区。</w:t>
      </w:r>
      <w:r>
        <w:rPr>
          <w:rFonts w:hint="eastAsia" w:hAnsi="仿宋_GB2312" w:eastAsia="仿宋_GB2312" w:cs="仿宋_GB2312"/>
          <w:color w:val="auto"/>
          <w:kern w:val="0"/>
          <w:sz w:val="32"/>
          <w:szCs w:val="22"/>
          <w:highlight w:val="none"/>
        </w:rPr>
        <w:t>积极发展沃柑、青柚等优稀水果新品种。</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荔枝产业带：</w:t>
      </w:r>
      <w:r>
        <w:rPr>
          <w:rFonts w:hint="eastAsia" w:hAnsi="仿宋_GB2312" w:eastAsia="仿宋_GB2312" w:cs="仿宋_GB2312"/>
          <w:kern w:val="0"/>
          <w:sz w:val="32"/>
          <w:szCs w:val="22"/>
          <w:highlight w:val="none"/>
        </w:rPr>
        <w:t>以高州市根子镇、分界镇、泗水镇、谢鸡镇、金山街道，电白区霞洞镇、林头镇、坡心镇、旦场镇，茂南区山阁镇、羊角镇的荔枝产区为中心，打造世界最大的荔枝连片种植加工基地。</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龙眼产业带：</w:t>
      </w:r>
      <w:r>
        <w:rPr>
          <w:rFonts w:hint="eastAsia" w:hAnsi="仿宋_GB2312" w:eastAsia="仿宋_GB2312" w:cs="仿宋_GB2312"/>
          <w:kern w:val="0"/>
          <w:sz w:val="32"/>
          <w:szCs w:val="22"/>
          <w:highlight w:val="none"/>
        </w:rPr>
        <w:t>以高州西部、化州北部为重点，打造30万亩国内一流龙眼产业带。</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香蕉产业带：</w:t>
      </w:r>
      <w:r>
        <w:rPr>
          <w:rFonts w:hint="eastAsia" w:hAnsi="仿宋_GB2312" w:eastAsia="仿宋_GB2312" w:cs="仿宋_GB2312"/>
          <w:kern w:val="0"/>
          <w:sz w:val="32"/>
          <w:szCs w:val="22"/>
          <w:highlight w:val="none"/>
        </w:rPr>
        <w:t>以鉴江流域一带为重点，在高州中西部的曹江镇、长坡镇、南塘镇、石板镇、大井镇、东岸镇、荷塘镇、镇江镇和化州市宝圩镇、播扬镇、那务镇等镇，打造20万亩国内优质香蕉产业带。</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三华李产业带：</w:t>
      </w:r>
      <w:r>
        <w:rPr>
          <w:rFonts w:hint="eastAsia" w:hAnsi="仿宋_GB2312" w:eastAsia="仿宋_GB2312" w:cs="仿宋_GB2312"/>
          <w:kern w:val="0"/>
          <w:sz w:val="32"/>
          <w:szCs w:val="22"/>
          <w:highlight w:val="none"/>
        </w:rPr>
        <w:t>以信宜市东部山区钱排镇、洪冠镇、平塘镇、茶山镇、</w:t>
      </w:r>
      <w:r>
        <w:rPr>
          <w:rFonts w:hint="eastAsia" w:ascii="仿宋_GB2312" w:hAnsi="仿宋_GB2312" w:eastAsia="仿宋_GB2312" w:cs="仿宋_GB2312"/>
          <w:sz w:val="32"/>
          <w:highlight w:val="none"/>
        </w:rPr>
        <w:t>白石</w:t>
      </w:r>
      <w:r>
        <w:rPr>
          <w:rFonts w:hint="eastAsia" w:hAnsi="仿宋_GB2312" w:eastAsia="仿宋_GB2312" w:cs="仿宋_GB2312"/>
          <w:kern w:val="0"/>
          <w:sz w:val="32"/>
          <w:szCs w:val="22"/>
          <w:highlight w:val="none"/>
        </w:rPr>
        <w:t>镇为重点，打造20万亩三华李产业带。</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514" w:name="_Toc27184"/>
      <w:bookmarkStart w:id="515" w:name="_Toc47714209"/>
      <w:bookmarkStart w:id="516" w:name="_Toc27085"/>
      <w:bookmarkStart w:id="517" w:name="_Toc6963"/>
      <w:bookmarkStart w:id="518" w:name="_Toc22013"/>
      <w:bookmarkStart w:id="519" w:name="_Toc31301"/>
      <w:bookmarkStart w:id="520" w:name="_Toc28488"/>
      <w:bookmarkStart w:id="521" w:name="_Toc21428"/>
      <w:bookmarkStart w:id="522" w:name="_Toc2850"/>
      <w:bookmarkStart w:id="523" w:name="_Toc6532"/>
      <w:bookmarkStart w:id="524" w:name="_Toc9353"/>
      <w:bookmarkStart w:id="525" w:name="_Toc8720"/>
      <w:bookmarkStart w:id="526" w:name="_Toc28479"/>
      <w:bookmarkStart w:id="527" w:name="_Toc9683"/>
      <w:bookmarkStart w:id="528" w:name="_Toc30690"/>
      <w:bookmarkStart w:id="529" w:name="_Toc26154"/>
      <w:bookmarkStart w:id="530" w:name="_Toc11242"/>
      <w:bookmarkStart w:id="531" w:name="_Toc13524"/>
      <w:r>
        <w:rPr>
          <w:rFonts w:hint="eastAsia" w:ascii="黑体" w:hAnsi="黑体" w:eastAsia="黑体" w:cs="黑体"/>
          <w:b w:val="0"/>
          <w:bCs w:val="0"/>
          <w:highlight w:val="none"/>
        </w:rPr>
        <w:t>五、渔业</w:t>
      </w:r>
      <w:bookmarkEnd w:id="514"/>
      <w:bookmarkEnd w:id="515"/>
      <w:bookmarkEnd w:id="516"/>
      <w:r>
        <w:rPr>
          <w:rFonts w:hint="eastAsia" w:ascii="黑体" w:hAnsi="黑体" w:eastAsia="黑体" w:cs="黑体"/>
          <w:b w:val="0"/>
          <w:bCs w:val="0"/>
          <w:highlight w:val="none"/>
        </w:rPr>
        <w:t>产业</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spacing w:line="600" w:lineRule="exact"/>
        <w:ind w:firstLine="640" w:firstLineChars="2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大力发展以罗非鱼为主导产业的淡水养殖。推进罗非鱼优势特色产业集群项目建设，推广罗非鱼吊水和脆化养殖提升品质，发展精深加工，打造超百亿元罗非鱼产业。开展澳洲龙虾、罗氏沼虾、青虾、龟鳖、“凼仔鱼”等特色水产养殖，促进淡水养殖业高质量发展。大力推行水产绿色健康养殖，规范水产养殖尾水处理。依托电白区对虾现代农业产业园，推广对虾绿色生态养殖，示范带动对虾产业高质量发展。优化调整海水养殖结构，提升深海网箱养殖能力，推进大放鸡岛海域国家级海洋牧场示范区人工鱼礁项目建设。推进外海捕捞基地建设，促进海洋捕捞转型升级。规划建设博贺渔业经济区、海洋渔业产业园，大力发展水产品加工业，延长产业链，推动渔业产业一二三产业融合发展。注重引进培育大型农业龙头企业，依托全产业链资源优势，</w:t>
      </w:r>
      <w:r>
        <w:rPr>
          <w:rFonts w:hint="eastAsia" w:hAnsi="仿宋_GB2312" w:eastAsia="仿宋_GB2312" w:cs="仿宋_GB2312"/>
          <w:color w:val="auto"/>
          <w:kern w:val="0"/>
          <w:sz w:val="32"/>
          <w:szCs w:val="22"/>
          <w:highlight w:val="none"/>
        </w:rPr>
        <w:t>发展预制菜，</w:t>
      </w:r>
      <w:r>
        <w:rPr>
          <w:rFonts w:hint="eastAsia" w:hAnsi="仿宋_GB2312" w:eastAsia="仿宋_GB2312" w:cs="仿宋_GB2312"/>
          <w:kern w:val="0"/>
          <w:sz w:val="32"/>
          <w:szCs w:val="22"/>
          <w:highlight w:val="none"/>
        </w:rPr>
        <w:t>打造“中央厨房”，加大对新菜式、新产品的研发力度，满足广大消费者的需求。加强水生生物资源养护工作，积极推进海洋牧场示范区建设，加大增殖渔业扶持力度，扩大增殖品种、数量、范围，维护水域生物多样性。加强水生野生动物保护管理，维护渔业生态平衡。到2025年，全市罗非鱼养殖面积26万亩，加工出口3.2亿美元；对虾养殖面积4.8万亩，其中工厂化养殖3.8万平方米；深海养殖水体15万立方米；“凼仔鱼”养殖0.5万亩。</w:t>
      </w:r>
    </w:p>
    <w:p>
      <w:pPr>
        <w:pStyle w:val="17"/>
        <w:ind w:firstLine="643"/>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罗非鱼核心区域</w:t>
      </w:r>
      <w:r>
        <w:rPr>
          <w:rFonts w:hint="eastAsia" w:ascii="仿宋_GB2312" w:hAnsi="仿宋_GB2312" w:eastAsia="仿宋_GB2312" w:cs="仿宋_GB2312"/>
          <w:highlight w:val="none"/>
        </w:rPr>
        <w:t>：茂南区新坡镇、公馆镇、金塘镇、镇盛镇，高州市石仔岭街道、金山街道、石鼓镇、镇江镇、沙田镇、荷塘镇、南塘镇、泗水镇，化州市南盛街道、石湾街道、河西街道、下郭街道、鉴江街道、东山街道、杨梅镇、笪桥镇、长岐镇、同庆镇。</w:t>
      </w:r>
    </w:p>
    <w:p>
      <w:pPr>
        <w:pStyle w:val="17"/>
        <w:ind w:firstLine="643"/>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对虾核心区域：</w:t>
      </w:r>
      <w:r>
        <w:rPr>
          <w:rFonts w:hint="eastAsia" w:ascii="仿宋_GB2312" w:hAnsi="仿宋_GB2312" w:eastAsia="仿宋_GB2312" w:cs="仿宋_GB2312"/>
          <w:highlight w:val="none"/>
        </w:rPr>
        <w:t>电白区岭门镇、沙院镇、高地街道，滨海新区博贺镇、电城镇。</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532" w:name="_Toc31261"/>
      <w:bookmarkStart w:id="533" w:name="_Toc12382"/>
      <w:bookmarkStart w:id="534" w:name="_Toc15538"/>
      <w:bookmarkStart w:id="535" w:name="_Toc16482"/>
      <w:bookmarkStart w:id="536" w:name="_Toc20116"/>
      <w:bookmarkStart w:id="537" w:name="_Toc4784"/>
      <w:bookmarkStart w:id="538" w:name="_Toc4232"/>
      <w:bookmarkStart w:id="539" w:name="_Toc30607"/>
      <w:bookmarkStart w:id="540" w:name="_Toc7547"/>
      <w:bookmarkStart w:id="541" w:name="_Toc2515"/>
      <w:bookmarkStart w:id="542" w:name="_Toc2599"/>
      <w:bookmarkStart w:id="543" w:name="_Toc16063"/>
      <w:bookmarkStart w:id="544" w:name="_Toc7601"/>
      <w:bookmarkStart w:id="545" w:name="_Toc8105"/>
      <w:bookmarkStart w:id="546" w:name="_Toc23608"/>
      <w:r>
        <w:rPr>
          <w:rFonts w:hint="eastAsia" w:ascii="黑体" w:hAnsi="黑体" w:eastAsia="黑体" w:cs="黑体"/>
          <w:b w:val="0"/>
          <w:bCs w:val="0"/>
          <w:highlight w:val="none"/>
        </w:rPr>
        <w:t>六、蔬菜产业</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spacing w:line="600" w:lineRule="exact"/>
        <w:ind w:firstLine="640" w:firstLineChars="200"/>
        <w:rPr>
          <w:rFonts w:hint="eastAsia" w:hAnsi="仿宋_GB2312" w:eastAsia="仿宋_GB2312" w:cs="仿宋_GB2312"/>
          <w:kern w:val="0"/>
          <w:sz w:val="32"/>
          <w:szCs w:val="32"/>
          <w:highlight w:val="none"/>
          <w:lang w:bidi="ar"/>
        </w:rPr>
      </w:pPr>
      <w:r>
        <w:rPr>
          <w:rFonts w:hint="eastAsia" w:hAnsi="仿宋_GB2312" w:eastAsia="仿宋_GB2312" w:cs="仿宋_GB2312"/>
          <w:kern w:val="0"/>
          <w:sz w:val="32"/>
          <w:szCs w:val="22"/>
          <w:highlight w:val="none"/>
        </w:rPr>
        <w:t>提高夏秋季节蔬菜的自给率，加快蔬菜新、奇、特、优品种的选育和</w:t>
      </w:r>
      <w:r>
        <w:rPr>
          <w:rFonts w:hint="eastAsia" w:ascii="仿宋_GB2312" w:hAnsi="仿宋_GB2312" w:eastAsia="仿宋_GB2312" w:cs="仿宋_GB2312"/>
          <w:sz w:val="32"/>
          <w:szCs w:val="22"/>
          <w:highlight w:val="none"/>
        </w:rPr>
        <w:t>引种步伐，加大千禧圣女果等高值蔬菜的种植面积。巩固和发展“水东芥菜”“高州麦菜”“钱排大芥菜”“笪桥黄瓜”等具有茂名市特色的地理标志产品。</w:t>
      </w:r>
      <w:r>
        <w:rPr>
          <w:rFonts w:hint="eastAsia" w:ascii="仿宋_GB2312" w:hAnsi="仿宋_GB2312" w:eastAsia="仿宋_GB2312" w:cs="仿宋_GB2312"/>
          <w:sz w:val="32"/>
          <w:szCs w:val="22"/>
          <w:highlight w:val="none"/>
          <w:lang w:bidi="ar"/>
        </w:rPr>
        <w:t>着力推广优质栽培技术</w:t>
      </w:r>
      <w:r>
        <w:rPr>
          <w:rFonts w:hint="eastAsia" w:hAnsi="仿宋_GB2312" w:eastAsia="仿宋_GB2312" w:cs="仿宋_GB2312"/>
          <w:kern w:val="0"/>
          <w:sz w:val="32"/>
          <w:szCs w:val="32"/>
          <w:highlight w:val="none"/>
          <w:lang w:bidi="ar"/>
        </w:rPr>
        <w:t>，</w:t>
      </w:r>
      <w:r>
        <w:rPr>
          <w:rFonts w:hint="eastAsia" w:hAnsi="仿宋_GB2312" w:eastAsia="仿宋_GB2312" w:cs="仿宋_GB2312"/>
          <w:kern w:val="0"/>
          <w:sz w:val="32"/>
          <w:szCs w:val="22"/>
          <w:highlight w:val="none"/>
        </w:rPr>
        <w:t>加快发展设施装备水平，调节上市档期，</w:t>
      </w:r>
      <w:r>
        <w:rPr>
          <w:rFonts w:hint="eastAsia" w:hAnsi="仿宋_GB2312" w:eastAsia="仿宋_GB2312" w:cs="仿宋_GB2312"/>
          <w:kern w:val="0"/>
          <w:sz w:val="32"/>
          <w:szCs w:val="32"/>
          <w:highlight w:val="none"/>
          <w:lang w:bidi="ar"/>
        </w:rPr>
        <w:t>实施产品分级销售，</w:t>
      </w:r>
      <w:r>
        <w:rPr>
          <w:rFonts w:hint="eastAsia" w:hAnsi="仿宋_GB2312" w:eastAsia="仿宋_GB2312" w:cs="仿宋_GB2312"/>
          <w:kern w:val="0"/>
          <w:sz w:val="32"/>
          <w:szCs w:val="22"/>
          <w:highlight w:val="none"/>
        </w:rPr>
        <w:t>提升竞争能力，确保有效供给。到2025年，全市蔬菜播种面积稳定在170万亩左右，总产稳定在340万吨左右。重点打造全国冬种蔬菜生产基地、城市周边蔬菜基地和信宜反季节蔬菜基地。</w:t>
      </w:r>
      <w:r>
        <w:rPr>
          <w:rFonts w:hint="eastAsia" w:hAnsi="仿宋_GB2312" w:eastAsia="仿宋_GB2312" w:cs="仿宋_GB2312"/>
          <w:kern w:val="0"/>
          <w:sz w:val="31"/>
          <w:szCs w:val="31"/>
          <w:highlight w:val="none"/>
          <w:lang w:bidi="ar"/>
        </w:rPr>
        <w:t>全国冬种蔬菜生产基地</w:t>
      </w:r>
      <w:r>
        <w:rPr>
          <w:rFonts w:hint="eastAsia" w:hAnsi="仿宋_GB2312" w:eastAsia="仿宋_GB2312" w:cs="仿宋_GB2312"/>
          <w:kern w:val="0"/>
          <w:sz w:val="32"/>
          <w:szCs w:val="32"/>
          <w:highlight w:val="none"/>
          <w:lang w:bidi="ar"/>
        </w:rPr>
        <w:t>：以优质、精品为目标，加强品种、品类筛选，推广绿色、高效栽培技术，加强产品分级，打造茂名区域品牌，提高产品的档次与竞争力。城市周边蔬菜基地：以丰富产品结构、提供充足时令菜为目标，通过推广绿色、安全、高效栽培技术，建设避雨设施，周年适时种植时令菜，为周边城市提供充足、丰富的蔬菜产品。信宜反季节蔬菜基地：根据不同的海拔高度，因地制宜选择适宜的品种，采用遮阳网等措施发展反季节蔬菜，补充和丰富周边城市的蔬菜供应。</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核心发展区</w:t>
      </w:r>
      <w:r>
        <w:rPr>
          <w:rFonts w:hint="eastAsia" w:hAnsi="仿宋_GB2312" w:eastAsia="仿宋_GB2312" w:cs="仿宋_GB2312"/>
          <w:kern w:val="0"/>
          <w:sz w:val="32"/>
          <w:szCs w:val="22"/>
          <w:highlight w:val="none"/>
        </w:rPr>
        <w:t>：茂南区鳌头镇、金塘镇、山阁镇、袂花镇；电白区水东街道、林头镇、旦场镇、沙院镇；信宜市钱排镇、镇隆镇、水口镇；高州市沙田镇、镇江镇、泗水镇、分界镇；化州市丽岗镇、同庆镇、南盛街道。</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547" w:name="_Toc11999"/>
      <w:bookmarkStart w:id="548" w:name="_Toc26210"/>
      <w:bookmarkStart w:id="549" w:name="_Toc32559"/>
      <w:bookmarkStart w:id="550" w:name="_Toc27159"/>
      <w:bookmarkStart w:id="551" w:name="_Toc5736"/>
      <w:bookmarkStart w:id="552" w:name="_Toc12516"/>
      <w:bookmarkStart w:id="553" w:name="_Toc12264"/>
      <w:bookmarkStart w:id="554" w:name="_Toc4122"/>
      <w:bookmarkStart w:id="555" w:name="_Toc4550"/>
      <w:bookmarkStart w:id="556" w:name="_Toc24297"/>
      <w:bookmarkStart w:id="557" w:name="_Toc22867"/>
      <w:bookmarkStart w:id="558" w:name="_Toc20310"/>
      <w:bookmarkStart w:id="559" w:name="_Toc28960"/>
      <w:bookmarkStart w:id="560" w:name="_Toc11001"/>
      <w:bookmarkStart w:id="561" w:name="_Toc9473"/>
      <w:r>
        <w:rPr>
          <w:rFonts w:hint="eastAsia" w:ascii="黑体" w:hAnsi="黑体" w:eastAsia="黑体" w:cs="黑体"/>
          <w:b w:val="0"/>
          <w:bCs w:val="0"/>
          <w:highlight w:val="none"/>
        </w:rPr>
        <w:t>七、南药产业</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spacing w:line="600" w:lineRule="exact"/>
        <w:ind w:firstLine="640" w:firstLineChars="2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依托热带亚热带山地资源和深厚的</w:t>
      </w:r>
      <w:r>
        <w:rPr>
          <w:rFonts w:hint="eastAsia" w:ascii="仿宋_GB2312" w:hAnsi="仿宋_GB2312" w:eastAsia="仿宋_GB2312" w:cs="仿宋_GB2312"/>
          <w:sz w:val="32"/>
          <w:szCs w:val="22"/>
          <w:highlight w:val="none"/>
        </w:rPr>
        <w:t>岭南中医药文化底蕴，大力发展热带亚热带药材种植，尤其是具有岭南特色的南药和“药食同源”的药材品种。建设规模化与规范化的药材种植基地，并形成优势片区，打造农业专业镇。组织制定茂名主要种植南药的标准化生产技术规程，提升药材标准化种植与药材加工技术，打造一批具有地域特色的南药品牌。加快</w:t>
      </w:r>
      <w:r>
        <w:rPr>
          <w:rFonts w:hint="eastAsia" w:hAnsi="仿宋_GB2312" w:eastAsia="仿宋_GB2312" w:cs="仿宋_GB2312"/>
          <w:kern w:val="0"/>
          <w:sz w:val="32"/>
          <w:szCs w:val="22"/>
          <w:highlight w:val="none"/>
        </w:rPr>
        <w:t>化橘红、沉香、益智、八角、何首乌、广藿香、牛大力、肉桂、</w:t>
      </w:r>
      <w:r>
        <w:rPr>
          <w:rFonts w:hint="eastAsia" w:ascii="仿宋_GB2312" w:hAnsi="仿宋_GB2312" w:eastAsia="仿宋_GB2312" w:cs="仿宋_GB2312"/>
          <w:sz w:val="32"/>
          <w:highlight w:val="none"/>
        </w:rPr>
        <w:t>天冬</w:t>
      </w:r>
      <w:r>
        <w:rPr>
          <w:rFonts w:hint="eastAsia" w:hAnsi="仿宋_GB2312" w:eastAsia="仿宋_GB2312" w:cs="仿宋_GB2312"/>
          <w:kern w:val="0"/>
          <w:sz w:val="32"/>
          <w:szCs w:val="22"/>
          <w:highlight w:val="none"/>
        </w:rPr>
        <w:t>等</w:t>
      </w:r>
      <w:r>
        <w:rPr>
          <w:rFonts w:hint="eastAsia" w:ascii="仿宋_GB2312" w:hAnsi="仿宋_GB2312" w:eastAsia="仿宋_GB2312" w:cs="仿宋_GB2312"/>
          <w:sz w:val="32"/>
          <w:szCs w:val="22"/>
          <w:highlight w:val="none"/>
        </w:rPr>
        <w:t>特色资源开发利用，争取化橘红进入国家药食同源目录，大力发展以化橘红、龙眼、沉香为代表的南药加工业，建成王老吉粤西生产基地，贯通产加销，融合农文旅，延伸产业链，提高附加值，擦亮南药“金字招牌”</w:t>
      </w:r>
      <w:r>
        <w:rPr>
          <w:rFonts w:hint="eastAsia" w:hAnsi="仿宋_GB2312" w:eastAsia="仿宋_GB2312" w:cs="仿宋_GB2312"/>
          <w:kern w:val="0"/>
          <w:sz w:val="32"/>
          <w:szCs w:val="22"/>
          <w:highlight w:val="none"/>
        </w:rPr>
        <w:t>。到2025年，全市药材种植面积达到60万亩以上。</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化橘红：</w:t>
      </w:r>
      <w:r>
        <w:rPr>
          <w:rFonts w:hint="eastAsia" w:hAnsi="仿宋_GB2312" w:eastAsia="仿宋_GB2312" w:cs="仿宋_GB2312"/>
          <w:kern w:val="0"/>
          <w:sz w:val="32"/>
          <w:szCs w:val="22"/>
          <w:highlight w:val="none"/>
        </w:rPr>
        <w:t>以化州市平定镇、合江镇、那务镇、中垌镇、官桥镇、新安镇、石湾街道、良光镇、杨梅镇、下郭街道、林尘镇、江湖镇、丽岗镇、东山街道、河西街道等15个镇街为中心，建设11万亩化橘红产业带，打造全球最大化橘红产业基地。</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沉香：</w:t>
      </w:r>
      <w:r>
        <w:rPr>
          <w:rFonts w:hint="eastAsia" w:hAnsi="仿宋_GB2312" w:eastAsia="仿宋_GB2312" w:cs="仿宋_GB2312"/>
          <w:kern w:val="0"/>
          <w:sz w:val="32"/>
          <w:szCs w:val="22"/>
          <w:highlight w:val="none"/>
        </w:rPr>
        <w:t>以电白区观珠镇、沙琅镇、那霍镇，化州市平定镇、文楼镇和高州市根子镇、荷塘镇、大井镇以及信宜市镇隆镇、水口镇、东镇街道等镇街为中心，打造沉香产业带；促进沉香深加工，开发沉香茶、沉香木工艺、沉香油、沉香薰香等系列产品；发展以沉香为主题的养生保健、工艺收藏、乡村旅游等沉香产业。到2025年，沉香种植面积达28万亩。</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益智：</w:t>
      </w:r>
      <w:r>
        <w:rPr>
          <w:rFonts w:hint="eastAsia" w:hAnsi="仿宋_GB2312" w:eastAsia="仿宋_GB2312" w:cs="仿宋_GB2312"/>
          <w:kern w:val="0"/>
          <w:sz w:val="32"/>
          <w:szCs w:val="22"/>
          <w:highlight w:val="none"/>
        </w:rPr>
        <w:t>以信宜市</w:t>
      </w:r>
      <w:r>
        <w:rPr>
          <w:rFonts w:hint="eastAsia" w:ascii="仿宋_GB2312" w:hAnsi="仿宋_GB2312" w:eastAsia="仿宋_GB2312" w:cs="仿宋_GB2312"/>
          <w:sz w:val="32"/>
          <w:szCs w:val="22"/>
          <w:highlight w:val="none"/>
        </w:rPr>
        <w:t>洪冠镇为重点，打造省级农业专业镇，大力推广“公司+基地+合作社+金融扶持+农户”模式，积极发展农户订单产业，着力发展精深加工，延伸产业链</w:t>
      </w:r>
      <w:r>
        <w:rPr>
          <w:rFonts w:hint="eastAsia" w:hAnsi="仿宋_GB2312" w:eastAsia="仿宋_GB2312" w:cs="仿宋_GB2312"/>
          <w:kern w:val="0"/>
          <w:sz w:val="32"/>
          <w:szCs w:val="22"/>
          <w:highlight w:val="none"/>
        </w:rPr>
        <w:t>，开发益智蜂蜜、益智花茶、益智酒、益智凉果、益智鸡等一系列产品。到2025年，发展种植益智8万亩。</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何首乌：</w:t>
      </w:r>
      <w:r>
        <w:rPr>
          <w:rFonts w:hint="eastAsia" w:hAnsi="仿宋_GB2312" w:eastAsia="仿宋_GB2312" w:cs="仿宋_GB2312"/>
          <w:kern w:val="0"/>
          <w:sz w:val="32"/>
          <w:szCs w:val="22"/>
          <w:highlight w:val="none"/>
        </w:rPr>
        <w:t>以茂南区金塘镇、高州市石鼓镇、镇江镇、化州市南盛街道为重点，大力发展何首乌种植。到2025年，发展种植何首乌5 万亩。</w:t>
      </w:r>
    </w:p>
    <w:p>
      <w:pPr>
        <w:spacing w:line="600" w:lineRule="exact"/>
        <w:ind w:firstLine="643" w:firstLineChars="200"/>
        <w:rPr>
          <w:rFonts w:hint="eastAsia" w:hAnsi="仿宋_GB2312" w:eastAsia="仿宋_GB2312" w:cs="仿宋_GB2312"/>
          <w:highlight w:val="none"/>
        </w:rPr>
      </w:pPr>
      <w:r>
        <w:rPr>
          <w:rFonts w:hint="eastAsia" w:hAnsi="仿宋_GB2312" w:eastAsia="仿宋_GB2312" w:cs="仿宋_GB2312"/>
          <w:b/>
          <w:bCs/>
          <w:kern w:val="0"/>
          <w:sz w:val="32"/>
          <w:szCs w:val="22"/>
          <w:highlight w:val="none"/>
        </w:rPr>
        <w:t>广藿香：</w:t>
      </w:r>
      <w:r>
        <w:rPr>
          <w:rFonts w:hint="eastAsia" w:hAnsi="仿宋_GB2312" w:eastAsia="仿宋_GB2312" w:cs="仿宋_GB2312"/>
          <w:kern w:val="0"/>
          <w:sz w:val="32"/>
          <w:szCs w:val="22"/>
          <w:highlight w:val="none"/>
        </w:rPr>
        <w:t>以化州市那务镇、播扬镇、江湖镇等为重点，大力发展广藿香种植，建立藿香优质种质资源收集与保护基地，推广优良品种。到2025年，发展种植广藿香3万亩。</w:t>
      </w:r>
      <w:bookmarkEnd w:id="451"/>
      <w:bookmarkEnd w:id="452"/>
      <w:bookmarkEnd w:id="453"/>
      <w:bookmarkStart w:id="562" w:name="_Toc19514"/>
      <w:bookmarkStart w:id="563" w:name="_Toc21275"/>
      <w:bookmarkStart w:id="564" w:name="_Toc4361"/>
      <w:bookmarkStart w:id="565" w:name="_Toc47714207"/>
    </w:p>
    <w:p>
      <w:pPr>
        <w:pStyle w:val="6"/>
        <w:spacing w:before="0" w:beforeLines="0" w:after="0" w:afterLines="0" w:line="600" w:lineRule="exact"/>
        <w:ind w:firstLine="640" w:firstLineChars="200"/>
        <w:rPr>
          <w:rFonts w:hint="eastAsia" w:ascii="黑体" w:hAnsi="黑体" w:eastAsia="黑体" w:cs="黑体"/>
          <w:b w:val="0"/>
          <w:bCs w:val="0"/>
          <w:color w:val="auto"/>
          <w:highlight w:val="none"/>
        </w:rPr>
      </w:pPr>
      <w:bookmarkStart w:id="566" w:name="_Toc20620"/>
      <w:bookmarkStart w:id="567" w:name="_Toc12568"/>
      <w:bookmarkStart w:id="568" w:name="_Toc14044"/>
      <w:bookmarkStart w:id="569" w:name="_Toc13590"/>
      <w:bookmarkStart w:id="570" w:name="_Toc19087"/>
      <w:bookmarkStart w:id="571" w:name="_Toc2317"/>
      <w:bookmarkStart w:id="572" w:name="_Toc27044"/>
      <w:bookmarkStart w:id="573" w:name="_Toc2900"/>
      <w:bookmarkStart w:id="574" w:name="_Toc32438"/>
      <w:bookmarkStart w:id="575" w:name="_Toc5589"/>
      <w:bookmarkStart w:id="576" w:name="_Toc6536"/>
      <w:bookmarkStart w:id="577" w:name="_Toc14426"/>
      <w:bookmarkStart w:id="578" w:name="_Toc26041"/>
      <w:bookmarkStart w:id="579" w:name="_Toc30283"/>
      <w:r>
        <w:rPr>
          <w:rFonts w:hint="eastAsia" w:ascii="黑体" w:hAnsi="黑体" w:eastAsia="黑体" w:cs="黑体"/>
          <w:b w:val="0"/>
          <w:bCs w:val="0"/>
          <w:color w:val="auto"/>
          <w:highlight w:val="none"/>
        </w:rPr>
        <w:t>八、预制菜产业</w:t>
      </w:r>
      <w:bookmarkEnd w:id="566"/>
      <w:bookmarkEnd w:id="567"/>
      <w:bookmarkEnd w:id="568"/>
      <w:bookmarkEnd w:id="569"/>
      <w:bookmarkEnd w:id="570"/>
      <w:bookmarkEnd w:id="571"/>
    </w:p>
    <w:p>
      <w:pPr>
        <w:spacing w:line="600" w:lineRule="exact"/>
        <w:ind w:firstLine="640" w:firstLineChars="200"/>
        <w:rPr>
          <w:rFonts w:hint="eastAsia" w:hAnsi="仿宋_GB2312" w:eastAsia="仿宋_GB2312" w:cs="仿宋_GB2312"/>
          <w:color w:val="auto"/>
          <w:kern w:val="0"/>
          <w:sz w:val="32"/>
          <w:szCs w:val="22"/>
          <w:highlight w:val="none"/>
        </w:rPr>
      </w:pPr>
      <w:r>
        <w:rPr>
          <w:rFonts w:hint="eastAsia" w:hAnsi="仿宋_GB2312" w:eastAsia="仿宋_GB2312" w:cs="仿宋_GB2312"/>
          <w:color w:val="auto"/>
          <w:kern w:val="0"/>
          <w:sz w:val="32"/>
          <w:szCs w:val="22"/>
          <w:highlight w:val="none"/>
        </w:rPr>
        <w:t>依托省级现代农业产业园、产业转移工业园和农业科技园区，鼓励预制菜头部企业与高等院校、科研院所、行业协会共同搭建茂名预制菜科研合作平台，开展预制菜共性基础研究，研发预制菜原料半成品加工与贮存技术；以水产品、海产品、禽畜制品等茂名优势特色产品为突破口，培育一批有食品化基础、先行先试企业发展为茂名预制菜龙头企业，打造茂名滨海海产品预制菜产业园区；推进预制菜新形态新品类、功能性预制菜（药膳）、原料筛选与培育。逐步构建预制菜质量安全监管规范体系，鼓励有关社会团体、企业制定预制菜团体标准、企业标准，推进预制菜产业标准化、规模化发展，加强预制菜全链条质量安全监管。引导成立茂名市预制菜产业联盟，培育和引进一批行业人才。加大财政支持力度，建立预制菜金融保险体系。举办茂名预制菜招商会，加强预制菜营销和品牌宣传，打造“好心预制”区域公用品牌，授予预制菜优质龙头企业使用，形成“区域共用品牌+企业专营品牌”的品牌构建模式。推进预制菜产业与休闲、旅游、文化等深度融合，把符合非物质文化遗产条件的预制菜制作技艺，申报列入非物质文化遗产代表性项目名录，讲好“食在茂名”故事。到2025年，预制菜产业规模达100亿元；年销售收入超亿元以上的产业企业达30家以上，产业百强企业的生产集中度（以销售收入来衡量）超过36%。</w:t>
      </w:r>
    </w:p>
    <w:p>
      <w:pPr>
        <w:spacing w:line="600" w:lineRule="exact"/>
        <w:ind w:firstLine="643" w:firstLineChars="200"/>
        <w:rPr>
          <w:rFonts w:hint="eastAsia" w:hAnsi="仿宋_GB2312" w:eastAsia="仿宋_GB2312" w:cs="仿宋_GB2312"/>
          <w:color w:val="auto"/>
          <w:kern w:val="0"/>
          <w:sz w:val="32"/>
          <w:szCs w:val="22"/>
          <w:highlight w:val="none"/>
        </w:rPr>
      </w:pPr>
      <w:r>
        <w:rPr>
          <w:rFonts w:hint="eastAsia" w:hAnsi="仿宋_GB2312" w:eastAsia="仿宋_GB2312" w:cs="仿宋_GB2312"/>
          <w:b/>
          <w:bCs/>
          <w:color w:val="auto"/>
          <w:kern w:val="0"/>
          <w:sz w:val="32"/>
          <w:szCs w:val="22"/>
          <w:highlight w:val="none"/>
        </w:rPr>
        <w:t>核心发展区</w:t>
      </w:r>
      <w:r>
        <w:rPr>
          <w:rFonts w:hint="eastAsia" w:hAnsi="仿宋_GB2312" w:eastAsia="仿宋_GB2312" w:cs="仿宋_GB2312"/>
          <w:color w:val="auto"/>
          <w:kern w:val="0"/>
          <w:sz w:val="32"/>
          <w:szCs w:val="22"/>
          <w:highlight w:val="none"/>
        </w:rPr>
        <w:t>：茂南区公馆镇、金塘镇、高山镇，化州市杨梅镇鉴江街道、河西街道、南盛街道、笪桥镇，高州市金山街道、潘州街道，电白区水东镇、岭门镇、博贺镇、民营科技工业园，信宜市东镇</w:t>
      </w:r>
      <w:r>
        <w:rPr>
          <w:rFonts w:hint="eastAsia" w:hAnsi="仿宋_GB2312" w:eastAsia="仿宋_GB2312" w:cs="仿宋_GB2312"/>
          <w:color w:val="auto"/>
          <w:kern w:val="0"/>
          <w:sz w:val="32"/>
          <w:szCs w:val="22"/>
          <w:highlight w:val="none"/>
          <w:lang w:eastAsia="zh-CN"/>
        </w:rPr>
        <w:t>街道</w:t>
      </w:r>
      <w:r>
        <w:rPr>
          <w:rFonts w:hint="eastAsia" w:hAnsi="仿宋_GB2312" w:eastAsia="仿宋_GB2312" w:cs="仿宋_GB2312"/>
          <w:color w:val="auto"/>
          <w:kern w:val="0"/>
          <w:sz w:val="32"/>
          <w:szCs w:val="22"/>
          <w:highlight w:val="none"/>
        </w:rPr>
        <w:t>、镇隆镇。</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580" w:name="_Toc32550"/>
      <w:bookmarkStart w:id="581" w:name="_Toc9313"/>
      <w:bookmarkStart w:id="582" w:name="_Toc12438"/>
      <w:bookmarkStart w:id="583" w:name="_Toc18291"/>
      <w:bookmarkStart w:id="584" w:name="_Toc9244"/>
      <w:bookmarkStart w:id="585" w:name="_Toc21994"/>
      <w:r>
        <w:rPr>
          <w:rFonts w:hint="eastAsia" w:ascii="黑体" w:hAnsi="黑体" w:eastAsia="黑体" w:cs="黑体"/>
          <w:b w:val="0"/>
          <w:bCs w:val="0"/>
          <w:highlight w:val="none"/>
        </w:rPr>
        <w:t>九、饲料工业</w:t>
      </w:r>
      <w:bookmarkEnd w:id="562"/>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spacing w:line="600" w:lineRule="exact"/>
        <w:ind w:firstLine="640" w:firstLineChars="200"/>
        <w:rPr>
          <w:rFonts w:hint="eastAsia" w:hAnsi="仿宋_GB2312" w:eastAsia="仿宋_GB2312" w:cs="仿宋_GB2312"/>
          <w:kern w:val="0"/>
          <w:sz w:val="32"/>
          <w:szCs w:val="22"/>
          <w:highlight w:val="none"/>
        </w:rPr>
      </w:pPr>
      <w:bookmarkStart w:id="586" w:name="_Toc20001"/>
      <w:bookmarkStart w:id="587" w:name="_Toc6766"/>
      <w:r>
        <w:rPr>
          <w:rFonts w:hint="eastAsia" w:hAnsi="仿宋_GB2312" w:eastAsia="仿宋_GB2312" w:cs="仿宋_GB2312"/>
          <w:kern w:val="0"/>
          <w:sz w:val="32"/>
          <w:szCs w:val="22"/>
          <w:highlight w:val="none"/>
        </w:rPr>
        <w:t>积极支持饲料加工企业进行技术改造，鼓励企业与科研单位、大专院校开展多种形式的联合与合作，加强饲料科技的研究开发与成果转化，推动饲料加工装备升级，提高饲料行业质量安全、生物安全、生产安全保障能力。推广应用生物发酵饲料、猪鸡低蛋白低磷日粮、精准配方等先进配方技术，降低饲料中蛋白含量水平，减少蛋白饲料原料消耗，提高饲料转化率，提升饲料品质，降低生产成本和养殖污染。鼓励饲料加工企业与畜产品加工企业和养殖基地实行产销合作，推进饲料工业产业化经营，促进养殖行业与饲料行业的良性互动发展。大力发展饲料工业，加大饲料企业重组优化，重点支持茂南区公馆、高州市金山两个工业园饲料工业集聚区的发展，引导和鼓励更多优质饲料企业进区，致力打造具有茂名特色和省级影响力的饲料工业产业园区。选择一批生产设备先进、技术研发能力强、管理水平高的饲料企业进行重点扶持，做大做强，致力打造一批旗舰型的饲料龙头企业。力争到2025年，全市饲料工业产量达到300万吨以上。</w:t>
      </w:r>
      <w:bookmarkEnd w:id="586"/>
      <w:bookmarkEnd w:id="587"/>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核心发展区</w:t>
      </w:r>
      <w:r>
        <w:rPr>
          <w:rFonts w:hint="eastAsia" w:hAnsi="仿宋_GB2312" w:eastAsia="仿宋_GB2312" w:cs="仿宋_GB2312"/>
          <w:kern w:val="0"/>
          <w:sz w:val="32"/>
          <w:szCs w:val="22"/>
          <w:highlight w:val="none"/>
        </w:rPr>
        <w:t>：茂南区公馆镇，高州市金山街道。</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588" w:name="_Toc32678"/>
      <w:bookmarkStart w:id="589" w:name="_Toc23544"/>
      <w:bookmarkStart w:id="590" w:name="_Toc21050"/>
      <w:bookmarkStart w:id="591" w:name="_Toc25827"/>
      <w:bookmarkStart w:id="592" w:name="_Toc8004"/>
      <w:bookmarkStart w:id="593" w:name="_Toc10926"/>
      <w:bookmarkStart w:id="594" w:name="_Toc27509"/>
      <w:bookmarkStart w:id="595" w:name="_Toc821"/>
      <w:bookmarkStart w:id="596" w:name="_Toc18280"/>
      <w:bookmarkStart w:id="597" w:name="_Toc12040"/>
      <w:bookmarkStart w:id="598" w:name="_Toc10702"/>
      <w:bookmarkStart w:id="599" w:name="_Toc5151"/>
      <w:bookmarkStart w:id="600" w:name="_Toc27142"/>
      <w:bookmarkStart w:id="601" w:name="_Toc32170"/>
      <w:bookmarkStart w:id="602" w:name="_Toc21945"/>
      <w:r>
        <w:rPr>
          <w:rFonts w:hint="eastAsia" w:ascii="黑体" w:hAnsi="黑体" w:eastAsia="黑体" w:cs="黑体"/>
          <w:b w:val="0"/>
          <w:bCs w:val="0"/>
          <w:highlight w:val="none"/>
        </w:rPr>
        <w:t>十、其他特色产业</w:t>
      </w:r>
      <w:bookmarkEnd w:id="563"/>
      <w:bookmarkEnd w:id="564"/>
      <w:bookmarkEnd w:id="565"/>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Start w:id="603" w:name="_Toc27327"/>
      <w:bookmarkStart w:id="604" w:name="_Toc47714206"/>
      <w:bookmarkStart w:id="605" w:name="_Toc26931"/>
    </w:p>
    <w:bookmarkEnd w:id="603"/>
    <w:bookmarkEnd w:id="604"/>
    <w:bookmarkEnd w:id="605"/>
    <w:p>
      <w:pPr>
        <w:spacing w:line="600" w:lineRule="exact"/>
        <w:ind w:firstLine="643" w:firstLineChars="200"/>
        <w:rPr>
          <w:rFonts w:hint="eastAsia" w:hAnsi="仿宋_GB2312" w:eastAsia="仿宋_GB2312" w:cs="仿宋_GB2312"/>
          <w:kern w:val="0"/>
          <w:sz w:val="32"/>
          <w:szCs w:val="22"/>
          <w:highlight w:val="none"/>
        </w:rPr>
      </w:pPr>
      <w:bookmarkStart w:id="606" w:name="_Toc11195"/>
      <w:bookmarkStart w:id="607" w:name="_Toc30816"/>
      <w:bookmarkStart w:id="608" w:name="_Toc47714205"/>
      <w:r>
        <w:rPr>
          <w:rFonts w:hint="eastAsia" w:hAnsi="仿宋_GB2312" w:eastAsia="仿宋_GB2312" w:cs="仿宋_GB2312"/>
          <w:b/>
          <w:bCs/>
          <w:kern w:val="0"/>
          <w:sz w:val="32"/>
          <w:szCs w:val="22"/>
          <w:highlight w:val="none"/>
        </w:rPr>
        <w:t>茶叶：</w:t>
      </w:r>
      <w:r>
        <w:rPr>
          <w:rFonts w:hint="eastAsia" w:hAnsi="仿宋_GB2312" w:eastAsia="仿宋_GB2312" w:cs="仿宋_GB2312"/>
          <w:kern w:val="0"/>
          <w:sz w:val="32"/>
          <w:szCs w:val="22"/>
          <w:highlight w:val="none"/>
        </w:rPr>
        <w:t>依托山</w:t>
      </w:r>
      <w:r>
        <w:rPr>
          <w:rFonts w:hint="eastAsia" w:ascii="仿宋_GB2312" w:hAnsi="仿宋_GB2312" w:eastAsia="仿宋_GB2312" w:cs="仿宋_GB2312"/>
          <w:sz w:val="32"/>
          <w:szCs w:val="22"/>
          <w:highlight w:val="none"/>
        </w:rPr>
        <w:t>地资源优势和深厚的茶文化底蕴，统筹绿茶、红茶产业发展，推进全市茶叶产业转型升级。在信宜市贵子镇、茶山镇、白石镇、大成镇、钱排镇、平塘镇、合水镇、新宝镇、思贺镇、金垌镇，高州市深镇镇、新垌镇，电白区罗坑镇等镇打造高山名茶优势产区，在化州市平定镇打造丘陵优势名茶种植区</w:t>
      </w:r>
      <w:r>
        <w:rPr>
          <w:rFonts w:hint="eastAsia" w:hAnsi="仿宋_GB2312" w:eastAsia="仿宋_GB2312" w:cs="仿宋_GB2312"/>
          <w:kern w:val="0"/>
          <w:sz w:val="32"/>
          <w:szCs w:val="22"/>
          <w:highlight w:val="none"/>
        </w:rPr>
        <w:t>，适度扩大种植规模，强化标准生产和质量安全，提升茶叶品质，创新茶叶产品，打造华煌茶等优质名茶品牌。到2025年，全市茶叶面积发展到2万亩以上。</w:t>
      </w:r>
    </w:p>
    <w:p>
      <w:pPr>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蚕桑：</w:t>
      </w:r>
      <w:r>
        <w:rPr>
          <w:rFonts w:hint="eastAsia" w:hAnsi="仿宋_GB2312" w:eastAsia="仿宋_GB2312" w:cs="仿宋_GB2312"/>
          <w:kern w:val="0"/>
          <w:sz w:val="32"/>
          <w:szCs w:val="22"/>
          <w:highlight w:val="none"/>
        </w:rPr>
        <w:t>发挥区域聚集效应，重点在化州市那务镇、合江镇、平定镇等镇，建设6万亩蚕桑产业区，打造省级蚕桑现代农业产业园，推动蚕</w:t>
      </w:r>
      <w:r>
        <w:rPr>
          <w:rFonts w:hint="eastAsia" w:ascii="仿宋_GB2312" w:hAnsi="仿宋_GB2312" w:eastAsia="仿宋_GB2312" w:cs="仿宋_GB2312"/>
          <w:sz w:val="32"/>
          <w:szCs w:val="22"/>
          <w:highlight w:val="none"/>
        </w:rPr>
        <w:t>桑生产“省力化、标准化、设施化、规模化、基地化”。大力扶持蚕农合作社，推广以订单为纽带的“公司＋合作社＋基地＋农户”的生产经营模式，推进蚕桑产业化。鼓励丝绸产业整合资源，发展壮大缫丝企业规模，带动种桑养蚕业快速发展。鼓励发展蚕桑加工产业，加快桑叶茶、桑叶菜、桑果酒、桑果汁等产品的产业化进程，推动蚕桑产业多元化发展。鼓励发展蚕桑休闲产业，加强蚕桑休闲旅游产品设计和营销，大力发展集桑果采摘、桑田</w:t>
      </w:r>
      <w:r>
        <w:rPr>
          <w:rFonts w:hint="eastAsia" w:hAnsi="仿宋_GB2312" w:eastAsia="仿宋_GB2312" w:cs="仿宋_GB2312"/>
          <w:kern w:val="0"/>
          <w:sz w:val="32"/>
          <w:szCs w:val="22"/>
          <w:highlight w:val="none"/>
        </w:rPr>
        <w:t>观光、养蚕体验、蚕桑科普、蚕桑系列产品加工展览等于一体的蚕桑休闲园，打造一批休闲蚕桑品牌。到2025年，全市蚕桑生产面积达10万亩以上。</w:t>
      </w:r>
    </w:p>
    <w:p>
      <w:pPr>
        <w:pStyle w:val="4"/>
        <w:spacing w:before="0" w:beforeLines="0" w:after="0" w:afterLines="0" w:line="600" w:lineRule="exact"/>
        <w:jc w:val="center"/>
        <w:rPr>
          <w:rFonts w:eastAsia="方正小标宋简体"/>
          <w:b w:val="0"/>
          <w:bCs w:val="0"/>
          <w:kern w:val="2"/>
          <w:sz w:val="36"/>
          <w:szCs w:val="36"/>
          <w:highlight w:val="none"/>
        </w:rPr>
      </w:pPr>
      <w:r>
        <w:rPr>
          <w:rFonts w:hint="eastAsia" w:hAnsi="仿宋_GB2312" w:eastAsia="仿宋_GB2312" w:cs="仿宋_GB2312"/>
          <w:kern w:val="0"/>
          <w:sz w:val="32"/>
          <w:szCs w:val="22"/>
          <w:highlight w:val="none"/>
        </w:rPr>
        <w:br w:type="page"/>
      </w:r>
      <w:bookmarkEnd w:id="424"/>
      <w:bookmarkEnd w:id="425"/>
      <w:bookmarkEnd w:id="426"/>
      <w:bookmarkEnd w:id="606"/>
      <w:bookmarkEnd w:id="607"/>
      <w:bookmarkEnd w:id="608"/>
      <w:bookmarkStart w:id="609" w:name="_Toc22413"/>
      <w:bookmarkStart w:id="610" w:name="_Toc13294"/>
      <w:bookmarkStart w:id="611" w:name="_Toc24545"/>
      <w:bookmarkStart w:id="612" w:name="_Toc626"/>
      <w:bookmarkStart w:id="613" w:name="_Toc13713"/>
      <w:bookmarkStart w:id="614" w:name="_Toc31329"/>
      <w:bookmarkStart w:id="615" w:name="_Toc3076"/>
      <w:bookmarkStart w:id="616" w:name="_Toc1626"/>
      <w:bookmarkStart w:id="617" w:name="_Toc23877"/>
      <w:bookmarkStart w:id="618" w:name="_Toc27077"/>
      <w:bookmarkStart w:id="619" w:name="_Toc6792"/>
      <w:bookmarkStart w:id="620" w:name="_Toc20096"/>
      <w:bookmarkStart w:id="621" w:name="_Toc32221"/>
      <w:bookmarkStart w:id="622" w:name="_Toc16680"/>
      <w:bookmarkStart w:id="623" w:name="_Toc20651"/>
      <w:r>
        <w:rPr>
          <w:rFonts w:eastAsia="方正小标宋简体"/>
          <w:b w:val="0"/>
          <w:bCs w:val="0"/>
          <w:kern w:val="2"/>
          <w:sz w:val="36"/>
          <w:szCs w:val="36"/>
          <w:highlight w:val="none"/>
        </w:rPr>
        <w:t>第四章  高质量发展 促进精细农业现代化</w:t>
      </w:r>
      <w:bookmarkEnd w:id="609"/>
      <w:r>
        <w:rPr>
          <w:rFonts w:eastAsia="方正小标宋简体"/>
          <w:b w:val="0"/>
          <w:bCs w:val="0"/>
          <w:kern w:val="2"/>
          <w:sz w:val="36"/>
          <w:szCs w:val="36"/>
          <w:highlight w:val="none"/>
        </w:rPr>
        <w:t>稳产保供</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4"/>
        <w:spacing w:before="0" w:beforeLines="0" w:after="0" w:afterLines="0" w:line="600" w:lineRule="exact"/>
        <w:jc w:val="center"/>
        <w:rPr>
          <w:rFonts w:eastAsia="方正小标宋简体"/>
          <w:b w:val="0"/>
          <w:bCs w:val="0"/>
          <w:kern w:val="2"/>
          <w:sz w:val="36"/>
          <w:szCs w:val="36"/>
          <w:highlight w:val="none"/>
        </w:rPr>
      </w:pPr>
    </w:p>
    <w:p>
      <w:pPr>
        <w:spacing w:line="600" w:lineRule="exact"/>
        <w:ind w:firstLine="600"/>
        <w:rPr>
          <w:rFonts w:hint="eastAsia" w:ascii="仿宋_GB2312" w:hAnsi="仿宋_GB2312" w:eastAsia="仿宋_GB2312" w:cs="仿宋_GB2312"/>
          <w:sz w:val="32"/>
          <w:szCs w:val="22"/>
          <w:highlight w:val="none"/>
        </w:rPr>
      </w:pPr>
      <w:r>
        <w:rPr>
          <w:rFonts w:hint="eastAsia" w:hAnsi="仿宋_GB2312" w:eastAsia="仿宋_GB2312" w:cs="仿宋_GB2312"/>
          <w:sz w:val="32"/>
          <w:szCs w:val="32"/>
          <w:highlight w:val="none"/>
        </w:rPr>
        <w:t>以发展精细</w:t>
      </w:r>
      <w:r>
        <w:rPr>
          <w:rFonts w:hint="eastAsia" w:ascii="仿宋_GB2312" w:hAnsi="仿宋_GB2312" w:eastAsia="仿宋_GB2312" w:cs="仿宋_GB2312"/>
          <w:sz w:val="32"/>
          <w:szCs w:val="22"/>
          <w:highlight w:val="none"/>
        </w:rPr>
        <w:t>农业为主攻方向，全面深化农业供给侧结构性改革，立足战略需求、资源禀赋和市场发展，坚持藏粮于地、藏粮于技，保数量、保多样、保质量，建设现代农业产业体系、生产体系和经营体系，促进农业高质高效，在农业全面升级中培育“茂字号”精细农业新优势。</w:t>
      </w:r>
    </w:p>
    <w:p>
      <w:pPr>
        <w:spacing w:line="600" w:lineRule="exact"/>
        <w:ind w:firstLine="600"/>
        <w:rPr>
          <w:rFonts w:hint="eastAsia" w:ascii="仿宋_GB2312" w:hAnsi="仿宋_GB2312" w:eastAsia="仿宋_GB2312" w:cs="仿宋_GB2312"/>
          <w:sz w:val="32"/>
          <w:szCs w:val="2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624" w:name="_Toc16735"/>
      <w:bookmarkStart w:id="625" w:name="_Toc21747"/>
      <w:bookmarkStart w:id="626" w:name="_Toc9776"/>
      <w:bookmarkStart w:id="627" w:name="_Toc22131"/>
      <w:bookmarkStart w:id="628" w:name="_Toc31568"/>
      <w:bookmarkStart w:id="629" w:name="_Toc21860"/>
      <w:bookmarkStart w:id="630" w:name="_Toc16180"/>
      <w:bookmarkStart w:id="631" w:name="_Toc32635"/>
      <w:bookmarkStart w:id="632" w:name="_Toc14275"/>
      <w:bookmarkStart w:id="633" w:name="_Toc6789"/>
      <w:bookmarkStart w:id="634" w:name="_Toc51255538"/>
      <w:bookmarkStart w:id="635" w:name="_Toc8815"/>
      <w:bookmarkStart w:id="636" w:name="_Toc14001"/>
      <w:bookmarkStart w:id="637" w:name="_Toc26938"/>
      <w:bookmarkStart w:id="638" w:name="_Toc6669"/>
      <w:bookmarkStart w:id="639" w:name="_Toc29249"/>
      <w:r>
        <w:rPr>
          <w:rFonts w:ascii="Times New Roman" w:hAnsi="Times New Roman" w:eastAsia="黑体"/>
          <w:b w:val="0"/>
          <w:bCs w:val="0"/>
          <w:sz w:val="32"/>
          <w:highlight w:val="none"/>
        </w:rPr>
        <w:t>第一节  建设精深化现代农业产业体系</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640" w:name="_Toc51255539"/>
      <w:bookmarkStart w:id="641" w:name="_Toc16538"/>
      <w:bookmarkStart w:id="642" w:name="_Toc18062"/>
      <w:bookmarkStart w:id="643" w:name="_Toc25776"/>
      <w:bookmarkStart w:id="644" w:name="_Toc24354"/>
      <w:bookmarkStart w:id="645" w:name="_Toc7331"/>
      <w:bookmarkStart w:id="646" w:name="_Toc14329"/>
      <w:bookmarkStart w:id="647" w:name="_Toc4378"/>
      <w:bookmarkStart w:id="648" w:name="_Toc12209"/>
      <w:bookmarkStart w:id="649" w:name="_Toc22975"/>
      <w:bookmarkStart w:id="650" w:name="_Toc3735"/>
      <w:bookmarkStart w:id="651" w:name="_Toc14710"/>
      <w:bookmarkStart w:id="652" w:name="_Toc9096"/>
      <w:bookmarkStart w:id="653" w:name="_Toc9299"/>
      <w:bookmarkStart w:id="654" w:name="_Toc15541"/>
      <w:bookmarkStart w:id="655" w:name="_Toc17126"/>
      <w:r>
        <w:rPr>
          <w:rFonts w:hint="eastAsia" w:ascii="黑体" w:hAnsi="黑体" w:eastAsia="黑体" w:cs="黑体"/>
          <w:b w:val="0"/>
          <w:bCs w:val="0"/>
          <w:highlight w:val="none"/>
        </w:rPr>
        <w:t>一、</w:t>
      </w:r>
      <w:bookmarkEnd w:id="640"/>
      <w:r>
        <w:rPr>
          <w:rFonts w:hint="eastAsia" w:ascii="黑体" w:hAnsi="黑体" w:eastAsia="黑体" w:cs="黑体"/>
          <w:b w:val="0"/>
          <w:bCs w:val="0"/>
          <w:highlight w:val="none"/>
        </w:rPr>
        <w:t>持续推进“茂名粮安工程”</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建立健全粮食安全保障体系</w:t>
      </w:r>
      <w:r>
        <w:rPr>
          <w:rFonts w:hint="eastAsia" w:hAnsi="仿宋_GB2312" w:eastAsia="仿宋_GB2312" w:cs="仿宋_GB2312"/>
          <w:kern w:val="0"/>
          <w:sz w:val="32"/>
          <w:szCs w:val="22"/>
          <w:highlight w:val="none"/>
        </w:rPr>
        <w:t>。实行粮食安全党政同责，落实粮食安全责任制，</w:t>
      </w:r>
      <w:r>
        <w:rPr>
          <w:rFonts w:hint="eastAsia" w:ascii="仿宋_GB2312" w:hAnsi="仿宋_GB2312" w:eastAsia="仿宋_GB2312" w:cs="仿宋_GB2312"/>
          <w:sz w:val="32"/>
          <w:szCs w:val="32"/>
          <w:highlight w:val="none"/>
        </w:rPr>
        <w:t>加强和改进粮食安全责任考核</w:t>
      </w:r>
      <w:r>
        <w:rPr>
          <w:rFonts w:hint="eastAsia" w:hAnsi="仿宋_GB2312" w:eastAsia="仿宋_GB2312" w:cs="仿宋_GB2312"/>
          <w:kern w:val="0"/>
          <w:sz w:val="32"/>
          <w:szCs w:val="22"/>
          <w:highlight w:val="none"/>
        </w:rPr>
        <w:t>。按照稳定生产、搞活流通、充实储备、加强监管、完善政策的粮食安全方针，以粮食生产和流通能力建设为基础，建立健全全方位的粮食安全保障体系。</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加强粮食综合生产能力</w:t>
      </w:r>
      <w:r>
        <w:rPr>
          <w:rFonts w:hint="eastAsia" w:hAnsi="仿宋_GB2312" w:eastAsia="仿宋_GB2312" w:cs="仿宋_GB2312"/>
          <w:kern w:val="0"/>
          <w:sz w:val="32"/>
          <w:szCs w:val="22"/>
          <w:highlight w:val="none"/>
        </w:rPr>
        <w:t>。保持水稻播种面积稳定在300万亩左右，保障市场供给稳定，坚持口粮自给率不降低。推进优质粮食工程，发展玉米、番薯、马铃薯等旱粮。逐步优化粮食品种和提升品质，到2025年，优质稻面积发展到210万亩，优质率达70%。</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加强粮食储备体系建设</w:t>
      </w:r>
      <w:r>
        <w:rPr>
          <w:rFonts w:hint="eastAsia" w:hAnsi="仿宋_GB2312" w:eastAsia="仿宋_GB2312" w:cs="仿宋_GB2312"/>
          <w:kern w:val="0"/>
          <w:sz w:val="32"/>
          <w:szCs w:val="22"/>
          <w:highlight w:val="none"/>
        </w:rPr>
        <w:t>。强化监督管理，形成储备功能完善、品种结构优化、储存方式灵活、承储主体多元、粮食储备安全的储备体系。鼓励粮食企业建立省外粮食生产基地。</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落实最严格的耕地保护制度</w:t>
      </w:r>
      <w:r>
        <w:rPr>
          <w:rFonts w:hint="eastAsia" w:hAnsi="仿宋_GB2312" w:eastAsia="仿宋_GB2312" w:cs="仿宋_GB2312"/>
          <w:kern w:val="0"/>
          <w:sz w:val="32"/>
          <w:szCs w:val="22"/>
          <w:highlight w:val="none"/>
        </w:rPr>
        <w:t>。</w:t>
      </w:r>
      <w:r>
        <w:rPr>
          <w:rFonts w:hint="eastAsia" w:ascii="仿宋_GB2312" w:hAnsi="仿宋_GB2312" w:eastAsia="仿宋_GB2312" w:cs="仿宋_GB2312"/>
          <w:kern w:val="0"/>
          <w:sz w:val="32"/>
          <w:szCs w:val="22"/>
          <w:highlight w:val="none"/>
        </w:rPr>
        <w:t>建立完善政府耕地保护责任目标考核机制，</w:t>
      </w:r>
      <w:r>
        <w:rPr>
          <w:rFonts w:hint="eastAsia" w:ascii="仿宋_GB2312" w:hAnsi="仿宋_GB2312" w:eastAsia="仿宋_GB2312" w:cs="仿宋_GB2312"/>
          <w:kern w:val="0"/>
          <w:sz w:val="32"/>
          <w:szCs w:val="32"/>
          <w:highlight w:val="none"/>
          <w:lang w:bidi="ar"/>
        </w:rPr>
        <w:t>建立健全粮食生产功能区、永久基本农田、高标准农田及垦造水田等耕地粮食生产信息化监测和评价体系</w:t>
      </w:r>
      <w:r>
        <w:rPr>
          <w:rFonts w:hint="eastAsia" w:ascii="仿宋_GB2312" w:hAnsi="仿宋_GB2312" w:eastAsia="仿宋_GB2312" w:cs="仿宋_GB2312"/>
          <w:kern w:val="0"/>
          <w:sz w:val="32"/>
          <w:szCs w:val="22"/>
          <w:highlight w:val="none"/>
        </w:rPr>
        <w:t>，坚决遏制耕地“非农化”、严格管控耕地“非粮化”，严格保护永久基本农田。多措并举提升高标准农田建设</w:t>
      </w:r>
      <w:r>
        <w:rPr>
          <w:rFonts w:hint="eastAsia" w:hAnsi="仿宋_GB2312" w:eastAsia="仿宋_GB2312" w:cs="仿宋_GB2312"/>
          <w:kern w:val="0"/>
          <w:sz w:val="32"/>
          <w:szCs w:val="22"/>
          <w:highlight w:val="none"/>
        </w:rPr>
        <w:t>质量，</w:t>
      </w:r>
      <w:r>
        <w:rPr>
          <w:rFonts w:hint="eastAsia" w:hAnsi="仿宋_GB2312" w:eastAsia="仿宋_GB2312" w:cs="仿宋_GB2312"/>
          <w:color w:val="auto"/>
          <w:kern w:val="0"/>
          <w:sz w:val="32"/>
          <w:szCs w:val="22"/>
          <w:highlight w:val="none"/>
        </w:rPr>
        <w:t>2022年完成连片15亩以下，3亩以上的撂荒地复耕复种；2023年可复耕撂荒耕地全部复耕。</w:t>
      </w:r>
      <w:r>
        <w:rPr>
          <w:rFonts w:hint="eastAsia" w:hAnsi="仿宋_GB2312" w:eastAsia="仿宋_GB2312" w:cs="仿宋_GB2312"/>
          <w:kern w:val="0"/>
          <w:sz w:val="32"/>
          <w:szCs w:val="22"/>
          <w:highlight w:val="none"/>
        </w:rPr>
        <w:t>推行耕地保护“田长制”管理，推动撂荒耕地复耕复种与生产托管有机结合，引导生产托管企业、农民合作社、家庭农场等新型经营主体承担撂荒耕地复耕复种任务。</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建立耕地轮作休耕制度</w:t>
      </w:r>
      <w:r>
        <w:rPr>
          <w:rFonts w:hint="eastAsia" w:hAnsi="仿宋_GB2312" w:eastAsia="仿宋_GB2312" w:cs="仿宋_GB2312"/>
          <w:kern w:val="0"/>
          <w:sz w:val="32"/>
          <w:szCs w:val="22"/>
          <w:highlight w:val="none"/>
        </w:rPr>
        <w:t>。推行用地与养地相结合的轮作种植模式，开展粮经、粮豆、水旱轮作和种植牧草；对土壤污染严重、区域生态功能退化、可利用水资源匮乏等不宜连续耕作的农田实行轮作休耕。</w:t>
      </w:r>
    </w:p>
    <w:p>
      <w:pPr>
        <w:autoSpaceDE w:val="0"/>
        <w:autoSpaceDN w:val="0"/>
        <w:adjustRightInd w:val="0"/>
        <w:spacing w:line="600" w:lineRule="exact"/>
        <w:ind w:firstLine="643" w:firstLineChars="200"/>
        <w:rPr>
          <w:rFonts w:hint="eastAsia" w:hAnsi="仿宋_GB2312" w:eastAsia="仿宋_GB2312" w:cs="仿宋_GB2312"/>
          <w:color w:val="auto"/>
          <w:kern w:val="0"/>
          <w:sz w:val="32"/>
          <w:szCs w:val="22"/>
          <w:highlight w:val="none"/>
        </w:rPr>
      </w:pPr>
      <w:r>
        <w:rPr>
          <w:rFonts w:hint="eastAsia" w:hAnsi="仿宋_GB2312" w:eastAsia="仿宋_GB2312" w:cs="仿宋_GB2312"/>
          <w:b/>
          <w:bCs/>
          <w:kern w:val="0"/>
          <w:sz w:val="32"/>
          <w:szCs w:val="22"/>
          <w:highlight w:val="none"/>
        </w:rPr>
        <w:t>推进农田水利建设</w:t>
      </w:r>
      <w:r>
        <w:rPr>
          <w:rFonts w:hint="eastAsia" w:hAnsi="仿宋_GB2312" w:eastAsia="仿宋_GB2312" w:cs="仿宋_GB2312"/>
          <w:kern w:val="0"/>
          <w:sz w:val="32"/>
          <w:szCs w:val="22"/>
          <w:highlight w:val="none"/>
        </w:rPr>
        <w:t>。实施农田整治提升行动方案，推进新一轮高标准农田建设和改造提升项目，</w:t>
      </w:r>
      <w:r>
        <w:rPr>
          <w:rFonts w:hint="eastAsia" w:hAnsi="仿宋_GB2312" w:eastAsia="仿宋_GB2312" w:cs="仿宋_GB2312"/>
          <w:color w:val="auto"/>
          <w:kern w:val="0"/>
          <w:sz w:val="32"/>
          <w:szCs w:val="22"/>
          <w:highlight w:val="none"/>
        </w:rPr>
        <w:t>对因耕种基础设施差，特别是排灌设施失效导致撂荒的耕地，加大改造力度，加强撂荒地水利、农机通道等基础设施建设。</w:t>
      </w:r>
      <w:r>
        <w:rPr>
          <w:rFonts w:hint="eastAsia" w:hAnsi="仿宋_GB2312" w:eastAsia="仿宋_GB2312" w:cs="仿宋_GB2312"/>
          <w:kern w:val="0"/>
          <w:sz w:val="32"/>
          <w:szCs w:val="22"/>
          <w:highlight w:val="none"/>
        </w:rPr>
        <w:t>提高高标准农田建设投入标准和建设质量。继续推进土地整治、垦造水田，实施耕地质量保护与提升行动，提升耕地产出能力。</w:t>
      </w:r>
      <w:r>
        <w:rPr>
          <w:rFonts w:hint="eastAsia" w:hAnsi="仿宋_GB2312" w:eastAsia="仿宋_GB2312" w:cs="仿宋_GB2312"/>
          <w:color w:val="auto"/>
          <w:kern w:val="0"/>
          <w:sz w:val="32"/>
          <w:szCs w:val="22"/>
          <w:highlight w:val="none"/>
        </w:rPr>
        <w:t>加强灌区骨干渠系节水改造、田间工程配套、低洼易涝区治理和农业用水管理，实现输水、用水全过程节水，提高农业灌溉用水效率，逐步降低农业用水比重，优化用水结构。</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656" w:name="_Toc11421"/>
      <w:bookmarkStart w:id="657" w:name="_Toc5596"/>
      <w:bookmarkStart w:id="658" w:name="_Toc32580"/>
      <w:bookmarkStart w:id="659" w:name="_Toc29478"/>
      <w:bookmarkStart w:id="660" w:name="_Toc10100"/>
      <w:bookmarkStart w:id="661" w:name="_Toc20666"/>
      <w:bookmarkStart w:id="662" w:name="_Toc28147"/>
      <w:bookmarkStart w:id="663" w:name="_Toc16523"/>
      <w:bookmarkStart w:id="664" w:name="_Toc27959"/>
      <w:bookmarkStart w:id="665" w:name="_Toc32394"/>
      <w:bookmarkStart w:id="666" w:name="_Toc51255541"/>
      <w:bookmarkStart w:id="667" w:name="_Toc28475"/>
      <w:bookmarkStart w:id="668" w:name="_Toc19208"/>
      <w:bookmarkStart w:id="669" w:name="_Toc7504"/>
      <w:bookmarkStart w:id="670" w:name="_Toc30414"/>
      <w:bookmarkStart w:id="671" w:name="_Toc24661"/>
      <w:r>
        <w:rPr>
          <w:rFonts w:hint="eastAsia" w:ascii="黑体" w:hAnsi="黑体" w:eastAsia="黑体" w:cs="黑体"/>
          <w:b w:val="0"/>
          <w:bCs w:val="0"/>
          <w:highlight w:val="none"/>
        </w:rPr>
        <w:t>二、促进产业集群聚集发展</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Fonts w:hint="eastAsia" w:ascii="黑体" w:hAnsi="黑体" w:eastAsia="黑体" w:cs="黑体"/>
          <w:b w:val="0"/>
          <w:bCs w:val="0"/>
          <w:highlight w:val="none"/>
        </w:rPr>
        <w:tab/>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持续推进现代农业产业园建设</w:t>
      </w:r>
      <w:r>
        <w:rPr>
          <w:rFonts w:hint="eastAsia" w:hAnsi="仿宋_GB2312" w:eastAsia="仿宋_GB2312" w:cs="仿宋_GB2312"/>
          <w:kern w:val="0"/>
          <w:sz w:val="32"/>
          <w:szCs w:val="22"/>
          <w:highlight w:val="none"/>
        </w:rPr>
        <w:t>。在已成功创建国家和省级现代农业产业园的基础上，持续推动现代农业产业园建设，积极申报创建第二轮省级现代农业产业园，按照大产业、大区域、大品牌、大科技、大企业的方向与要求，重点打造荔枝、龙眼、生猪、罗非鱼、对虾、南药、冷链等岭南优势产业带，形成4个百亿产值、5个五十亿产值、若干个十亿产值、具有国际竞争力的现代农业产业集群，构建国家、省、市、县四级联动的现代农业产业园体系，梯次推进乡村振兴新格局。</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推进“一村一品、一镇一业”提质扩面</w:t>
      </w:r>
      <w:r>
        <w:rPr>
          <w:rFonts w:hint="eastAsia" w:hAnsi="仿宋_GB2312" w:eastAsia="仿宋_GB2312" w:cs="仿宋_GB2312"/>
          <w:kern w:val="0"/>
          <w:sz w:val="32"/>
          <w:szCs w:val="22"/>
          <w:highlight w:val="none"/>
        </w:rPr>
        <w:t>。实施产业兴村强</w:t>
      </w:r>
      <w:r>
        <w:rPr>
          <w:rFonts w:hint="eastAsia" w:ascii="仿宋_GB2312" w:hAnsi="仿宋_GB2312" w:eastAsia="仿宋_GB2312" w:cs="仿宋_GB2312"/>
          <w:sz w:val="32"/>
          <w:szCs w:val="22"/>
          <w:highlight w:val="none"/>
        </w:rPr>
        <w:t>镇行动，以村或镇连片建设，落实《茂名“一村一品、一镇一业”建设实施方案》，整合资金投入，建设一批省级专业村镇，创建一批全国“一村一品”示范村镇、农业产业强镇，新增一批全国、全省名特优新农产品，促</w:t>
      </w:r>
      <w:r>
        <w:rPr>
          <w:rFonts w:hint="eastAsia" w:hAnsi="仿宋_GB2312" w:eastAsia="仿宋_GB2312" w:cs="仿宋_GB2312"/>
          <w:kern w:val="0"/>
          <w:sz w:val="32"/>
          <w:szCs w:val="22"/>
          <w:highlight w:val="none"/>
        </w:rPr>
        <w:t>进富民兴村。进一步提升茂南区公馆镇和羊角镇、电白区沙琅镇、信宜市钱排镇、高州市根子镇、化州市平定镇产业强镇水平，培育一批专业镇。</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推进农产品加工业优势产业集群建设</w:t>
      </w:r>
      <w:r>
        <w:rPr>
          <w:rFonts w:hint="eastAsia" w:hAnsi="仿宋_GB2312" w:eastAsia="仿宋_GB2312" w:cs="仿宋_GB2312"/>
          <w:kern w:val="0"/>
          <w:sz w:val="32"/>
          <w:szCs w:val="22"/>
          <w:highlight w:val="none"/>
        </w:rPr>
        <w:t>。加大培育推广加工型专用新品种（荔枝、龙眼、三华李等），提高产品加工性能，改善供给加工农</w:t>
      </w:r>
      <w:r>
        <w:rPr>
          <w:rFonts w:hint="eastAsia" w:ascii="仿宋_GB2312" w:hAnsi="仿宋_GB2312" w:eastAsia="仿宋_GB2312" w:cs="仿宋_GB2312"/>
          <w:sz w:val="32"/>
          <w:szCs w:val="22"/>
          <w:highlight w:val="none"/>
        </w:rPr>
        <w:t>产品结构与质量，由鲜食农产品过剩、废弃物利用等的“被动加工”变为按需定制的“主动加工”，推动农产品加工业转型升级。加强技术创新，支持农产</w:t>
      </w:r>
      <w:r>
        <w:rPr>
          <w:rFonts w:hint="eastAsia" w:hAnsi="仿宋_GB2312" w:eastAsia="仿宋_GB2312" w:cs="仿宋_GB2312"/>
          <w:kern w:val="0"/>
          <w:sz w:val="32"/>
          <w:szCs w:val="22"/>
          <w:highlight w:val="none"/>
        </w:rPr>
        <w:t>品加工设备改造提升，建设农产品加工技术研发集成基地。推进农产品加工示范区的规划建设，扶持建设一批南亚热带农产品初加工和技术先进、附加值高的精深加工项目，引导</w:t>
      </w:r>
      <w:r>
        <w:rPr>
          <w:rFonts w:hint="eastAsia" w:ascii="仿宋_GB2312" w:hAnsi="仿宋_GB2312" w:eastAsia="仿宋_GB2312" w:cs="仿宋_GB2312"/>
          <w:sz w:val="32"/>
          <w:szCs w:val="22"/>
          <w:highlight w:val="none"/>
        </w:rPr>
        <w:t>农产品企业、新型经营主体、种养大户等积极开展农产品产地初加工和精深加工。推进畜禽屠宰、畜产品加工、副产物综合利用和功能性产品技术革新和推广。实施罗非鱼国家优势特色产业集群项目，加快传统水产品加工产业升级改造，提高水产品精深加工和高效利</w:t>
      </w:r>
      <w:r>
        <w:rPr>
          <w:rFonts w:hint="eastAsia" w:hAnsi="仿宋_GB2312" w:eastAsia="仿宋_GB2312" w:cs="仿宋_GB2312"/>
          <w:kern w:val="0"/>
          <w:sz w:val="32"/>
          <w:szCs w:val="22"/>
          <w:highlight w:val="none"/>
        </w:rPr>
        <w:t>用产品比重，建设具有世界先进水平的水产品加工集聚区。</w:t>
      </w:r>
    </w:p>
    <w:p>
      <w:pPr>
        <w:pStyle w:val="17"/>
        <w:ind w:firstLine="643"/>
        <w:rPr>
          <w:rFonts w:hint="eastAsia" w:ascii="仿宋_GB2312" w:hAnsi="仿宋_GB2312" w:eastAsia="仿宋_GB2312" w:cs="仿宋_GB2312"/>
          <w:kern w:val="0"/>
          <w:szCs w:val="22"/>
          <w:highlight w:val="none"/>
        </w:rPr>
      </w:pPr>
      <w:r>
        <w:rPr>
          <w:rFonts w:hint="eastAsia" w:ascii="仿宋_GB2312" w:hAnsi="仿宋_GB2312" w:eastAsia="仿宋_GB2312" w:cs="仿宋_GB2312"/>
          <w:b/>
          <w:bCs/>
          <w:kern w:val="0"/>
          <w:szCs w:val="22"/>
          <w:highlight w:val="none"/>
        </w:rPr>
        <w:t>打造渔港经济区</w:t>
      </w:r>
      <w:r>
        <w:rPr>
          <w:rFonts w:hint="eastAsia" w:ascii="仿宋_GB2312" w:hAnsi="仿宋_GB2312" w:eastAsia="仿宋_GB2312" w:cs="仿宋_GB2312"/>
          <w:kern w:val="0"/>
          <w:szCs w:val="22"/>
          <w:highlight w:val="none"/>
        </w:rPr>
        <w:t>。加强现代渔业要素的吸引和集聚，推动渔港区域一二三产业融合发展。继续加大对全市渔港基础设施建设和升级</w:t>
      </w:r>
      <w:r>
        <w:rPr>
          <w:rFonts w:hint="eastAsia" w:ascii="仿宋_GB2312" w:hAnsi="仿宋_GB2312" w:eastAsia="仿宋_GB2312" w:cs="仿宋_GB2312"/>
          <w:szCs w:val="22"/>
          <w:highlight w:val="none"/>
        </w:rPr>
        <w:t>改造，依托博贺国家级中心渔港优势，建设集避风、补给、现代化渔业生产、水产品集散和加工为一体渔港经济区，完善水东、陈村、东山等渔港和森高、树仔海丰避风塘建设。在全省渔港经济区建设总体布局规划编制与全省渔港“一张图”的基础上，进一步推进全市渔港经济区建设规划编制工作，聚集渔港经济产业发展要素，推动全市渔港经济区</w:t>
      </w:r>
      <w:r>
        <w:rPr>
          <w:rFonts w:hint="eastAsia" w:ascii="仿宋_GB2312" w:hAnsi="仿宋_GB2312" w:eastAsia="仿宋_GB2312" w:cs="仿宋_GB2312"/>
          <w:kern w:val="0"/>
          <w:szCs w:val="22"/>
          <w:highlight w:val="none"/>
        </w:rPr>
        <w:t>建设。</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672" w:name="_Toc8205"/>
      <w:bookmarkStart w:id="673" w:name="_Toc6258"/>
      <w:bookmarkStart w:id="674" w:name="_Toc30192"/>
      <w:bookmarkStart w:id="675" w:name="_Toc51255542"/>
      <w:bookmarkStart w:id="676" w:name="_Toc31666"/>
      <w:bookmarkStart w:id="677" w:name="_Toc19599"/>
      <w:bookmarkStart w:id="678" w:name="_Toc23876"/>
      <w:bookmarkStart w:id="679" w:name="_Toc6012"/>
      <w:bookmarkStart w:id="680" w:name="_Toc9895"/>
      <w:bookmarkStart w:id="681" w:name="_Toc14742"/>
      <w:bookmarkStart w:id="682" w:name="_Toc18977"/>
      <w:bookmarkStart w:id="683" w:name="_Toc1058"/>
      <w:bookmarkStart w:id="684" w:name="_Toc18721"/>
      <w:bookmarkStart w:id="685" w:name="_Toc2155"/>
      <w:bookmarkStart w:id="686" w:name="_Toc27743"/>
      <w:bookmarkStart w:id="687" w:name="_Toc19665"/>
      <w:r>
        <w:rPr>
          <w:rFonts w:hint="eastAsia" w:ascii="黑体" w:hAnsi="黑体" w:eastAsia="黑体" w:cs="黑体"/>
          <w:b w:val="0"/>
          <w:bCs w:val="0"/>
          <w:highlight w:val="none"/>
        </w:rPr>
        <w:t>三、培育新产业新业态</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Pr>
          <w:rFonts w:hint="eastAsia" w:ascii="黑体" w:hAnsi="黑体" w:eastAsia="黑体" w:cs="黑体"/>
          <w:b w:val="0"/>
          <w:bCs w:val="0"/>
          <w:highlight w:val="none"/>
        </w:rPr>
        <w:tab/>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实施休闲农业和乡村旅游精品工程</w:t>
      </w:r>
      <w:r>
        <w:rPr>
          <w:rFonts w:hint="eastAsia" w:hAnsi="仿宋_GB2312" w:eastAsia="仿宋_GB2312" w:cs="仿宋_GB2312"/>
          <w:kern w:val="0"/>
          <w:sz w:val="32"/>
          <w:szCs w:val="22"/>
          <w:highlight w:val="none"/>
        </w:rPr>
        <w:t>。在严格生态保护的基础上，全域实施休闲农业和乡村旅游精品工程，扩展现代农业产业园旅游</w:t>
      </w:r>
      <w:r>
        <w:rPr>
          <w:rFonts w:hint="eastAsia" w:ascii="仿宋_GB2312" w:hAnsi="仿宋_GB2312" w:eastAsia="仿宋_GB2312" w:cs="仿宋_GB2312"/>
          <w:sz w:val="32"/>
          <w:szCs w:val="22"/>
          <w:highlight w:val="none"/>
        </w:rPr>
        <w:t>休闲功能，扶持创建一批美丽乡村（镇）、农业公园，培育壮大乡村民宿、农家客栈、休闲农业、康体养生等多种业态，建成华南地区知名的乡村休闲度假旅游目的地。依托茂名市农村电商平台，加快市、县（市区）、乡镇、村社四级统一的智慧旅游公共服务平</w:t>
      </w:r>
      <w:r>
        <w:rPr>
          <w:rFonts w:hint="eastAsia" w:hAnsi="仿宋_GB2312" w:eastAsia="仿宋_GB2312" w:cs="仿宋_GB2312"/>
          <w:kern w:val="0"/>
          <w:sz w:val="32"/>
          <w:szCs w:val="22"/>
          <w:highlight w:val="none"/>
        </w:rPr>
        <w:t>台建设进度，把乡村旅游纳入全市、全行业共享的数据中心及管理、营销体系，通过5G+VR体验馆体验休闲农业种植和乡村风光等场景的融合发展模式、创新5G+VR乡村农业观光的新业态，大力推进智慧旅游在乡村旅游经营管理中的普及应用。到2025年全市创建12个省级休闲农业与乡村旅游示范镇、35个省级休闲农业与乡村旅游示范点，休闲观光农业和乡村旅游接待人数达到1800万人次。</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拓展农村产业融合新空间</w:t>
      </w:r>
      <w:r>
        <w:rPr>
          <w:rFonts w:hint="eastAsia" w:hAnsi="仿宋_GB2312" w:eastAsia="仿宋_GB2312" w:cs="仿宋_GB2312"/>
          <w:kern w:val="0"/>
          <w:sz w:val="32"/>
          <w:szCs w:val="22"/>
          <w:highlight w:val="none"/>
        </w:rPr>
        <w:t>。跨界配置农业与现代产业要素深度交叉融合，形成“农业+”多业态发展态势。以加工流通带动业态融合，引导各地发展中央厨房、直供直销、会员农业等业态。以功能拓展带动业态融合，促进农业与文化、旅游、教育、康养、服务等现代产业高位嫁接、交叉重组、渗透融合，积极发展创意农业、亲子体验、功能农业等业态。以信息技术带动业态融合，促进互联网、物联网、区块链、人工智能、5G、生物技术等新一代信息技术与农业融合，发展数字农业、智慧农业、信任农业、认养农业、可视农业等业态，增加乡村生态产品和服务供给。合理适度利用农耕文化遗产，发展茂名农耕文化产业。引导晏镜皮鞋、怀乡竹编、石鼓渔网等传统产业与乡村振兴融合发展。推进体育休闲产业发展。强化产业融合发展的平台支撑。</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688" w:name="_Toc5212"/>
      <w:bookmarkStart w:id="689" w:name="_Toc3715"/>
      <w:bookmarkStart w:id="690" w:name="_Toc7726"/>
      <w:bookmarkStart w:id="691" w:name="_Toc1307"/>
      <w:bookmarkStart w:id="692" w:name="_Toc18197"/>
      <w:bookmarkStart w:id="693" w:name="_Toc18496"/>
      <w:bookmarkStart w:id="694" w:name="_Toc28276"/>
      <w:bookmarkStart w:id="695" w:name="_Toc14883"/>
      <w:bookmarkStart w:id="696" w:name="_Toc29935"/>
      <w:bookmarkStart w:id="697" w:name="_Toc51255543"/>
      <w:bookmarkStart w:id="698" w:name="_Toc32480"/>
      <w:bookmarkStart w:id="699" w:name="_Toc5821"/>
      <w:bookmarkStart w:id="700" w:name="_Toc28944"/>
      <w:bookmarkStart w:id="701" w:name="_Toc6328"/>
      <w:bookmarkStart w:id="702" w:name="_Toc20399"/>
      <w:bookmarkStart w:id="703" w:name="_Toc2387"/>
      <w:r>
        <w:rPr>
          <w:rFonts w:hint="eastAsia" w:ascii="黑体" w:hAnsi="黑体" w:eastAsia="黑体" w:cs="黑体"/>
          <w:b w:val="0"/>
          <w:bCs w:val="0"/>
          <w:highlight w:val="none"/>
        </w:rPr>
        <w:t>四、构建开放合作产业链</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推进与“双区”、北部湾城市群、海南自贸港、湛茂都市圈农业合作</w:t>
      </w:r>
      <w:r>
        <w:rPr>
          <w:rFonts w:hint="eastAsia" w:hAnsi="仿宋_GB2312" w:eastAsia="仿宋_GB2312" w:cs="仿宋_GB2312"/>
          <w:kern w:val="0"/>
          <w:sz w:val="32"/>
          <w:szCs w:val="22"/>
          <w:highlight w:val="none"/>
        </w:rPr>
        <w:t>。加强与</w:t>
      </w:r>
      <w:r>
        <w:rPr>
          <w:rFonts w:hint="eastAsia" w:ascii="仿宋_GB2312" w:hAnsi="仿宋_GB2312" w:eastAsia="仿宋_GB2312" w:cs="仿宋_GB2312"/>
          <w:sz w:val="32"/>
          <w:szCs w:val="22"/>
          <w:highlight w:val="none"/>
        </w:rPr>
        <w:t>粤港澳大湾区、深圳中国特色社会主义先行示范区、北部湾城市群、海南自由贸易港、湛茂都市圈战略合作，实现“湾区带”联动发展。加强食用农产品安全合作，建设茂名-粤港澳大湾区“米袋子”“菜篮子”“果盘子”平台，积极瞄向粤港澳实行统</w:t>
      </w:r>
      <w:r>
        <w:rPr>
          <w:rFonts w:hint="eastAsia" w:hAnsi="仿宋_GB2312" w:eastAsia="仿宋_GB2312" w:cs="仿宋_GB2312"/>
          <w:kern w:val="0"/>
          <w:sz w:val="32"/>
          <w:szCs w:val="22"/>
          <w:highlight w:val="none"/>
        </w:rPr>
        <w:t>一的农</w:t>
      </w:r>
      <w:r>
        <w:rPr>
          <w:rFonts w:hint="eastAsia" w:ascii="仿宋_GB2312" w:hAnsi="仿宋_GB2312" w:eastAsia="仿宋_GB2312" w:cs="仿宋_GB2312"/>
          <w:sz w:val="32"/>
          <w:szCs w:val="22"/>
          <w:highlight w:val="none"/>
        </w:rPr>
        <w:t>产品安全标准，建立生产、加工、流通、销售全过程质量追溯制度。支持港澳参与茂名市现代农业建设，</w:t>
      </w:r>
      <w:r>
        <w:rPr>
          <w:rFonts w:hint="eastAsia" w:ascii="仿宋_GB2312" w:hAnsi="仿宋_GB2312" w:eastAsia="仿宋_GB2312" w:cs="仿宋_GB2312"/>
          <w:sz w:val="32"/>
          <w:szCs w:val="32"/>
          <w:highlight w:val="none"/>
        </w:rPr>
        <w:t>加强与大湾区市场对接，高水平建设一批茂名粤港澳绿色农产品生产基地、绿色农副产品集散基地、交易流通中心。</w:t>
      </w:r>
    </w:p>
    <w:p>
      <w:pPr>
        <w:autoSpaceDE w:val="0"/>
        <w:autoSpaceDN w:val="0"/>
        <w:adjustRightInd w:val="0"/>
        <w:spacing w:line="600" w:lineRule="exact"/>
        <w:ind w:firstLine="643" w:firstLineChars="200"/>
        <w:rPr>
          <w:rFonts w:hint="eastAsia" w:ascii="仿宋_GB2312" w:hAnsi="仿宋_GB2312" w:eastAsia="仿宋_GB2312" w:cs="仿宋_GB2312"/>
          <w:sz w:val="32"/>
          <w:szCs w:val="22"/>
          <w:highlight w:val="none"/>
        </w:rPr>
      </w:pPr>
      <w:r>
        <w:rPr>
          <w:rFonts w:hint="eastAsia" w:hAnsi="仿宋_GB2312" w:eastAsia="仿宋_GB2312" w:cs="仿宋_GB2312"/>
          <w:b/>
          <w:bCs/>
          <w:kern w:val="0"/>
          <w:sz w:val="32"/>
          <w:szCs w:val="22"/>
          <w:highlight w:val="none"/>
        </w:rPr>
        <w:t>深化农业国际合作</w:t>
      </w:r>
      <w:r>
        <w:rPr>
          <w:rFonts w:hint="eastAsia" w:hAnsi="仿宋_GB2312" w:eastAsia="仿宋_GB2312" w:cs="仿宋_GB2312"/>
          <w:kern w:val="0"/>
          <w:sz w:val="32"/>
          <w:szCs w:val="22"/>
          <w:highlight w:val="none"/>
        </w:rPr>
        <w:t>。支持茂名农</w:t>
      </w:r>
      <w:r>
        <w:rPr>
          <w:rFonts w:hint="eastAsia" w:ascii="仿宋_GB2312" w:hAnsi="仿宋_GB2312" w:eastAsia="仿宋_GB2312" w:cs="仿宋_GB2312"/>
          <w:sz w:val="32"/>
          <w:szCs w:val="22"/>
          <w:highlight w:val="none"/>
        </w:rPr>
        <w:t>业企业与“一带一路”沿线国家和地区开展农业经贸投资与科技交流合作，培育一批具有国际竞争力的大型企业，鼓励企业申请国际认证认可，支持企业参与国际知名展会，支持荔枝、龙眼、化橘红、沉香、蚕桑、水产等农业产业集群、专业市场“组团出海”，更好融入全球产业链、价值链和供应链。</w:t>
      </w:r>
    </w:p>
    <w:p>
      <w:pPr>
        <w:autoSpaceDE w:val="0"/>
        <w:autoSpaceDN w:val="0"/>
        <w:adjustRightInd w:val="0"/>
        <w:ind w:firstLine="640" w:firstLineChars="200"/>
        <w:rPr>
          <w:rFonts w:eastAsia="仿宋"/>
          <w:szCs w:val="32"/>
          <w:highlight w:val="none"/>
        </w:rPr>
      </w:pP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none" w:color="auto" w:sz="4" w:space="0"/>
        </w:tblBorders>
        <w:shd w:val="clear" w:color="auto" w:fill="FFFFFF"/>
        <w:tblLayout w:type="fixed"/>
        <w:tblCellMar>
          <w:top w:w="0" w:type="dxa"/>
          <w:left w:w="108" w:type="dxa"/>
          <w:bottom w:w="0" w:type="dxa"/>
          <w:right w:w="108" w:type="dxa"/>
        </w:tblCellMar>
      </w:tblPr>
      <w:tblGrid>
        <w:gridCol w:w="8300"/>
      </w:tblGrid>
      <w:tr>
        <w:tblPrEx>
          <w:tblBorders>
            <w:top w:val="single" w:color="000000" w:sz="4" w:space="0"/>
            <w:left w:val="single" w:color="000000" w:sz="4" w:space="0"/>
            <w:bottom w:val="single" w:color="000000" w:sz="4" w:space="0"/>
            <w:right w:val="single" w:color="000000" w:sz="4" w:space="0"/>
            <w:insideH w:val="single" w:color="000000" w:sz="4" w:space="0"/>
            <w:insideV w:val="none" w:color="auto" w:sz="4" w:space="0"/>
          </w:tblBorders>
          <w:shd w:val="clear" w:color="auto" w:fill="FFFFFF"/>
          <w:tblCellMar>
            <w:top w:w="0" w:type="dxa"/>
            <w:left w:w="108" w:type="dxa"/>
            <w:bottom w:w="0" w:type="dxa"/>
            <w:right w:w="108" w:type="dxa"/>
          </w:tblCellMar>
        </w:tblPrEx>
        <w:trPr>
          <w:jc w:val="center"/>
        </w:trPr>
        <w:tc>
          <w:tcPr>
            <w:tcW w:w="8300" w:type="dxa"/>
            <w:tcBorders>
              <w:tl2br w:val="nil"/>
              <w:tr2bl w:val="nil"/>
            </w:tcBorders>
            <w:shd w:val="clear" w:color="auto" w:fill="FFFFFF"/>
            <w:noWrap w:val="0"/>
            <w:vAlign w:val="center"/>
          </w:tcPr>
          <w:p>
            <w:pPr>
              <w:autoSpaceDE w:val="0"/>
              <w:spacing w:before="156" w:beforeLines="50" w:after="156" w:afterLines="50" w:line="360" w:lineRule="exact"/>
              <w:ind w:firstLine="480" w:firstLineChars="200"/>
              <w:jc w:val="center"/>
              <w:rPr>
                <w:rFonts w:ascii="Times New Roman" w:hAnsi="Times New Roman"/>
                <w:b/>
                <w:bCs/>
                <w:sz w:val="28"/>
                <w:szCs w:val="28"/>
                <w:highlight w:val="none"/>
              </w:rPr>
            </w:pPr>
            <w:r>
              <w:rPr>
                <w:rFonts w:hint="eastAsia" w:ascii="黑体" w:hAnsi="黑体" w:eastAsia="黑体" w:cs="黑体"/>
                <w:b w:val="0"/>
                <w:bCs w:val="0"/>
                <w:sz w:val="24"/>
                <w:szCs w:val="21"/>
                <w:highlight w:val="none"/>
              </w:rPr>
              <w:t>专栏一  建设精深化现代农业产业体系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none" w:color="auto" w:sz="4" w:space="0"/>
          </w:tblBorders>
          <w:tblCellMar>
            <w:top w:w="0" w:type="dxa"/>
            <w:left w:w="108" w:type="dxa"/>
            <w:bottom w:w="0" w:type="dxa"/>
            <w:right w:w="108" w:type="dxa"/>
          </w:tblCellMar>
        </w:tblPrEx>
        <w:trPr>
          <w:trHeight w:val="543" w:hRule="atLeast"/>
          <w:jc w:val="center"/>
        </w:trPr>
        <w:tc>
          <w:tcPr>
            <w:tcW w:w="8300" w:type="dxa"/>
            <w:tcBorders>
              <w:tl2br w:val="nil"/>
              <w:tr2bl w:val="nil"/>
            </w:tcBorders>
            <w:shd w:val="clear" w:color="auto" w:fill="FFFFFF"/>
            <w:noWrap w:val="0"/>
            <w:vAlign w:val="center"/>
          </w:tcPr>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（一）“茂名粮安工程”</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落实永久基本农田、粮食生产功能区和重要农产品生产保护区用地。进一步加强高标准农田建设，实施耕地质量保护与提升行动，开展耕地质量等级调查评价等工作，促进耕地资源永续利用。保持水稻播种面积稳定在300万亩左右。到2025年，优质稻面积发展到210万亩，优质率达70%。</w:t>
            </w:r>
          </w:p>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（二）“国家-省-市-县”四级现代农业产业园建设工程</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积极申报创建第二轮省级现代农业产业园，重点打造荔枝、龙眼、生猪、罗非鱼、对虾、南药、冷链等岭南优势产业带，形成4个百亿产值、5个五十亿产值、若干个十亿产值、具有国际竞争力的现代农业产业集群，构建国家、省、市、县四级联动的现代农业产业园体系。</w:t>
            </w:r>
          </w:p>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（三）“一村一品、一镇一业”提升工程</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持续推进“一村一品、一镇一业”建设，依托镇村的资源禀赋，突出绿色化、优质化、特色化、品牌化，培优地方特色产业，做强富民兴村产业。</w:t>
            </w:r>
          </w:p>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（四）休闲农业和乡村旅游精品工程</w:t>
            </w:r>
          </w:p>
          <w:p>
            <w:pPr>
              <w:autoSpaceDE w:val="0"/>
              <w:autoSpaceDN w:val="0"/>
              <w:adjustRightInd w:val="0"/>
              <w:spacing w:line="360" w:lineRule="auto"/>
              <w:ind w:firstLine="480" w:firstLineChars="200"/>
              <w:jc w:val="left"/>
              <w:rPr>
                <w:rFonts w:ascii="Times New Roman" w:hAnsi="Times New Roman"/>
                <w:sz w:val="24"/>
                <w:highlight w:val="none"/>
              </w:rPr>
            </w:pPr>
            <w:r>
              <w:rPr>
                <w:rFonts w:hint="eastAsia" w:ascii="仿宋_GB2312" w:hAnsi="仿宋_GB2312" w:eastAsia="仿宋_GB2312" w:cs="仿宋_GB2312"/>
                <w:kern w:val="0"/>
                <w:sz w:val="24"/>
                <w:szCs w:val="20"/>
                <w:highlight w:val="none"/>
              </w:rPr>
              <w:t>全域实施休闲农业和乡村旅游精品工程，扩展现代农业产业园旅游休闲功能，扶持创建一批美丽乡村（镇）、农业公园，培育壮大乡村民宿、农家客栈、休闲农业、康体养生等多种业态。到2025年全市创建12个省级休闲农业与乡村旅游示范镇、35个省级休闲农业与乡村旅游示范点，休闲观光农业和乡村旅游接待人数达到1800万人次。</w:t>
            </w:r>
          </w:p>
        </w:tc>
      </w:tr>
    </w:tbl>
    <w:p>
      <w:pPr>
        <w:autoSpaceDE w:val="0"/>
        <w:autoSpaceDN w:val="0"/>
        <w:adjustRightInd w:val="0"/>
        <w:ind w:firstLine="640" w:firstLineChars="200"/>
        <w:rPr>
          <w:rFonts w:eastAsia="仿宋"/>
          <w:szCs w:val="3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704" w:name="_Toc30793"/>
      <w:bookmarkStart w:id="705" w:name="_Toc1701"/>
      <w:bookmarkStart w:id="706" w:name="_Toc25558"/>
      <w:bookmarkStart w:id="707" w:name="_Toc30800"/>
      <w:bookmarkStart w:id="708" w:name="_Toc12408"/>
      <w:bookmarkStart w:id="709" w:name="_Toc7027"/>
      <w:bookmarkStart w:id="710" w:name="_Toc51255544"/>
      <w:bookmarkStart w:id="711" w:name="_Toc9967"/>
      <w:bookmarkStart w:id="712" w:name="_Toc15446"/>
      <w:bookmarkStart w:id="713" w:name="_Toc13909"/>
      <w:bookmarkStart w:id="714" w:name="_Toc26165"/>
      <w:bookmarkStart w:id="715" w:name="_Toc19571"/>
      <w:bookmarkStart w:id="716" w:name="_Toc26147"/>
      <w:bookmarkStart w:id="717" w:name="_Toc7631"/>
      <w:bookmarkStart w:id="718" w:name="_Toc9785"/>
      <w:bookmarkStart w:id="719" w:name="_Toc472"/>
      <w:r>
        <w:rPr>
          <w:rFonts w:ascii="Times New Roman" w:hAnsi="Times New Roman" w:eastAsia="黑体"/>
          <w:b w:val="0"/>
          <w:bCs w:val="0"/>
          <w:sz w:val="32"/>
          <w:highlight w:val="none"/>
        </w:rPr>
        <w:t>第二节  建设精准化现代农业生产体系</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720" w:name="_Toc26583"/>
      <w:bookmarkStart w:id="721" w:name="_Toc27946"/>
      <w:bookmarkStart w:id="722" w:name="_Toc12910"/>
      <w:bookmarkStart w:id="723" w:name="_Toc4743"/>
      <w:bookmarkStart w:id="724" w:name="_Toc1063"/>
      <w:bookmarkStart w:id="725" w:name="_Toc24720"/>
      <w:bookmarkStart w:id="726" w:name="_Toc6795"/>
      <w:bookmarkStart w:id="727" w:name="_Toc16312"/>
      <w:bookmarkStart w:id="728" w:name="_Toc2344"/>
      <w:bookmarkStart w:id="729" w:name="_Toc31552"/>
      <w:bookmarkStart w:id="730" w:name="_Toc51255545"/>
      <w:bookmarkStart w:id="731" w:name="_Toc19476"/>
      <w:bookmarkStart w:id="732" w:name="_Toc17237"/>
      <w:bookmarkStart w:id="733" w:name="_Toc5532"/>
      <w:bookmarkStart w:id="734" w:name="_Toc31983"/>
      <w:bookmarkStart w:id="735" w:name="_Toc15513"/>
      <w:r>
        <w:rPr>
          <w:rFonts w:hint="eastAsia" w:ascii="黑体" w:hAnsi="黑体" w:eastAsia="黑体" w:cs="黑体"/>
          <w:b w:val="0"/>
          <w:bCs w:val="0"/>
          <w:highlight w:val="none"/>
        </w:rPr>
        <w:t>一、坚持农业绿色发展</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推行农业标准化生产</w:t>
      </w:r>
      <w:r>
        <w:rPr>
          <w:rFonts w:hint="eastAsia" w:hAnsi="仿宋_GB2312" w:eastAsia="仿宋_GB2312" w:cs="仿宋_GB2312"/>
          <w:kern w:val="0"/>
          <w:sz w:val="32"/>
          <w:szCs w:val="22"/>
          <w:highlight w:val="none"/>
        </w:rPr>
        <w:t>。将农业标准化与绿色化挂钩，推进绿色农业标准化。开展标准化生产创建活动，打造一批果菜茶标准园、畜禽标准化示范场、水产健康养殖示范场等标准化示范点，建设各类标准化生产基地。开展绿色优质农产品供给提升行动，提升绿色食品、有机农产品和地理标志农产品等认证的公信力和权威性。实施对标达标提升行动，鼓励龙头企业、农民专业合作社等规模生产经营主体按标生产，有条件的可申请良好农业规范认证。采取财政奖补等措施，鼓励支持经营主体开</w:t>
      </w:r>
      <w:r>
        <w:rPr>
          <w:rFonts w:hint="eastAsia" w:ascii="仿宋_GB2312" w:hAnsi="仿宋_GB2312" w:eastAsia="仿宋_GB2312" w:cs="仿宋_GB2312"/>
          <w:kern w:val="0"/>
          <w:sz w:val="32"/>
          <w:szCs w:val="22"/>
          <w:highlight w:val="none"/>
        </w:rPr>
        <w:t>展“两品一标”认证</w:t>
      </w:r>
      <w:r>
        <w:rPr>
          <w:rFonts w:hint="eastAsia" w:hAnsi="仿宋_GB2312" w:eastAsia="仿宋_GB2312" w:cs="仿宋_GB2312"/>
          <w:kern w:val="0"/>
          <w:sz w:val="32"/>
          <w:szCs w:val="22"/>
          <w:highlight w:val="none"/>
        </w:rPr>
        <w:t>。到2025年，全市有机农产品数量达18个、绿色食品达130个、国家地理标志产品达16个。</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发展生态健康养殖</w:t>
      </w:r>
      <w:r>
        <w:rPr>
          <w:rFonts w:hint="eastAsia" w:hAnsi="仿宋_GB2312" w:eastAsia="仿宋_GB2312" w:cs="仿宋_GB2312"/>
          <w:kern w:val="0"/>
          <w:sz w:val="32"/>
          <w:szCs w:val="22"/>
          <w:highlight w:val="none"/>
        </w:rPr>
        <w:t>。尽快恢</w:t>
      </w:r>
      <w:r>
        <w:rPr>
          <w:rFonts w:hint="eastAsia" w:ascii="仿宋_GB2312" w:hAnsi="仿宋_GB2312" w:eastAsia="仿宋_GB2312" w:cs="仿宋_GB2312"/>
          <w:sz w:val="32"/>
          <w:szCs w:val="22"/>
          <w:highlight w:val="none"/>
        </w:rPr>
        <w:t>复生猪产能，探索建立生猪养殖生态补偿制度。开展生猪优势产业示范区建设行动，推动生猪小散养殖向标准化规模养殖转型、粗放养殖向绿色科学养殖转型、调畜禽向调肉品转型，布局养殖、屠宰、加工、冷链全产业链。开展标准化养殖场创建行动，大力发展标准化、规模化、环保高效性畜牧业，建设一批省级标准化养殖池（示范场）、美丽牧场。加大种畜禽场动物疫病净化工作力度，稳步推进无特定病原场建设，全面落实畜禽强制免疫、动物疫病监测、动物疫情预警预报等防控措施，</w:t>
      </w:r>
      <w:r>
        <w:rPr>
          <w:rFonts w:hint="eastAsia" w:hAnsi="仿宋_GB2312" w:eastAsia="仿宋_GB2312" w:cs="仿宋_GB2312"/>
          <w:kern w:val="0"/>
          <w:sz w:val="32"/>
          <w:szCs w:val="22"/>
          <w:highlight w:val="none"/>
        </w:rPr>
        <w:t>切实提升动物疫病防控和应急处置能力。大力推广畜禽无公害饲养管理技术，实施兽用抗菌药使用减量化行动。积极开展水产健康养殖示范场创建行动，重点发展池塘工程化、工厂化循环水养殖。扶持发展种养循环、种地养地结合、林下立体高效复合式种养、高床养殖等生态循环农业。</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持续推进化肥减量增效</w:t>
      </w:r>
      <w:r>
        <w:rPr>
          <w:rFonts w:hint="eastAsia" w:hAnsi="仿宋_GB2312" w:eastAsia="仿宋_GB2312" w:cs="仿宋_GB2312"/>
          <w:kern w:val="0"/>
          <w:sz w:val="32"/>
          <w:szCs w:val="22"/>
          <w:highlight w:val="none"/>
        </w:rPr>
        <w:t>。深入实施</w:t>
      </w:r>
      <w:r>
        <w:rPr>
          <w:rFonts w:hint="eastAsia" w:ascii="仿宋_GB2312" w:hAnsi="仿宋_GB2312" w:eastAsia="仿宋_GB2312" w:cs="仿宋_GB2312"/>
          <w:sz w:val="32"/>
          <w:szCs w:val="22"/>
          <w:highlight w:val="none"/>
        </w:rPr>
        <w:t>化肥减量增效行动，保持化肥使用量负增长，提高化肥利用率。集成推广水稻侧深施肥、“三控”施肥等高效施肥技术，实现全市化肥减量增效。持续推进测土配方施肥农企合作，科学制定大配方，推进配方肥落地，确保测土配方施肥技术覆盖率</w:t>
      </w:r>
      <w:r>
        <w:rPr>
          <w:rFonts w:hint="eastAsia" w:hAnsi="仿宋_GB2312" w:eastAsia="仿宋_GB2312" w:cs="仿宋_GB2312"/>
          <w:kern w:val="0"/>
          <w:sz w:val="32"/>
          <w:szCs w:val="22"/>
          <w:highlight w:val="none"/>
        </w:rPr>
        <w:t>达到90%以上。普及使用高效缓（控）释肥料等新型肥料，推广秸秆还田、绿肥种植、农家肥积造等技术，确保化肥利用率逐步提高。</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持续推进农药减量增效。</w:t>
      </w:r>
      <w:r>
        <w:rPr>
          <w:rFonts w:hint="eastAsia" w:hAnsi="仿宋_GB2312" w:eastAsia="仿宋_GB2312" w:cs="仿宋_GB2312"/>
          <w:kern w:val="0"/>
          <w:sz w:val="32"/>
          <w:szCs w:val="22"/>
          <w:highlight w:val="none"/>
        </w:rPr>
        <w:t>深入开展农药减量增效行动，保持农药使用量负增长，提高农药利用率。实施绿色防控替代化学防治行动，推广生态控制、生物防治等绿色技术和新型植保机械，推行专业化统防统治。大力推进病虫害统防统治、区域化联防联治和全程绿色防控，创建一批果菜茶病虫全程绿色防控示范园（区），带动农药大面积减量增效，力争主要农作物病虫害绿色防控覆盖率达到40%以上。加强农药安全使用监督检查，加大违规使用农药问题的查处力度，确保主要农作物农药利用率逐步提高。</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推进畜禽粪污资源化利用</w:t>
      </w:r>
      <w:r>
        <w:rPr>
          <w:rFonts w:hint="eastAsia" w:hAnsi="仿宋_GB2312" w:eastAsia="仿宋_GB2312" w:cs="仿宋_GB2312"/>
          <w:kern w:val="0"/>
          <w:sz w:val="32"/>
          <w:szCs w:val="22"/>
          <w:highlight w:val="none"/>
        </w:rPr>
        <w:t>。推进畜禽养殖废弃物源头改造，实施畜禽养殖废弃物资源化利用行动，</w:t>
      </w:r>
      <w:r>
        <w:rPr>
          <w:rFonts w:hint="eastAsia" w:hAnsi="仿宋_GB2312" w:eastAsia="仿宋_GB2312" w:cs="仿宋_GB2312"/>
          <w:color w:val="auto"/>
          <w:kern w:val="0"/>
          <w:sz w:val="32"/>
          <w:szCs w:val="22"/>
          <w:highlight w:val="none"/>
        </w:rPr>
        <w:t>畜禽粪污综合利用率达到80%以上，</w:t>
      </w:r>
      <w:r>
        <w:rPr>
          <w:rFonts w:hint="eastAsia" w:hAnsi="仿宋_GB2312" w:eastAsia="仿宋_GB2312" w:cs="仿宋_GB2312"/>
          <w:kern w:val="0"/>
          <w:sz w:val="32"/>
          <w:szCs w:val="22"/>
          <w:highlight w:val="none"/>
        </w:rPr>
        <w:t>完成规模养殖场粪污治理设施建设，粪污处理设施装备配套基本全覆盖。健全畜禽粪污处理利用标准体系，鼓励发展收贮运社会化服务组织，探索粪肥运输、施用引导激励政策。健全病死畜禽无害化处理体系，推进病死畜禽无害化集中处理。</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深入实施农膜回收行动</w:t>
      </w:r>
      <w:r>
        <w:rPr>
          <w:rFonts w:hint="eastAsia" w:hAnsi="仿宋_GB2312" w:eastAsia="仿宋_GB2312" w:cs="仿宋_GB2312"/>
          <w:kern w:val="0"/>
          <w:sz w:val="32"/>
          <w:szCs w:val="22"/>
          <w:highlight w:val="none"/>
        </w:rPr>
        <w:t>。根据国家《农用薄膜管理办法》，积极贯彻落实地膜新国标，加大执法检查力度，严禁不达标地膜流入市场、铺进农田。推广应用标准地膜，试验示范全生物降解地膜，引导使用加厚或可降解农膜，推进机械化捡拾、专业化回收，并建立废旧地膜和包装废弃物等回收处理制度，鼓励支持企业回收废旧农膜。</w:t>
      </w:r>
    </w:p>
    <w:p>
      <w:pPr>
        <w:autoSpaceDE w:val="0"/>
        <w:autoSpaceDN w:val="0"/>
        <w:adjustRightInd w:val="0"/>
        <w:spacing w:line="600" w:lineRule="exact"/>
        <w:ind w:firstLine="643" w:firstLineChars="200"/>
        <w:rPr>
          <w:rFonts w:eastAsia="仿宋"/>
          <w:kern w:val="0"/>
          <w:sz w:val="32"/>
          <w:szCs w:val="22"/>
          <w:highlight w:val="none"/>
        </w:rPr>
      </w:pPr>
      <w:r>
        <w:rPr>
          <w:rFonts w:hint="eastAsia" w:hAnsi="仿宋_GB2312" w:eastAsia="仿宋_GB2312" w:cs="仿宋_GB2312"/>
          <w:b/>
          <w:bCs/>
          <w:kern w:val="0"/>
          <w:sz w:val="32"/>
          <w:szCs w:val="22"/>
          <w:highlight w:val="none"/>
        </w:rPr>
        <w:t>健全农药包装废弃物回收体系</w:t>
      </w:r>
      <w:r>
        <w:rPr>
          <w:rFonts w:hint="eastAsia" w:hAnsi="仿宋_GB2312" w:eastAsia="仿宋_GB2312" w:cs="仿宋_GB2312"/>
          <w:kern w:val="0"/>
          <w:sz w:val="32"/>
          <w:szCs w:val="22"/>
          <w:highlight w:val="none"/>
        </w:rPr>
        <w:t>。贯彻落实《土壤污染防治法》《农药管理条例》，根据《农药包装废弃物回收处理管理办法》，依托广东省农药数据监管平台，压实农药生产者、经营者责任，鼓励使用者自发回收。探索回收处置长效机制，逐步提高农药包装废弃物回收率。</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736" w:name="_Toc2144"/>
      <w:bookmarkStart w:id="737" w:name="_Toc24093"/>
      <w:bookmarkStart w:id="738" w:name="_Toc276"/>
      <w:bookmarkStart w:id="739" w:name="_Toc2154"/>
      <w:bookmarkStart w:id="740" w:name="_Toc545"/>
      <w:bookmarkStart w:id="741" w:name="_Toc5106"/>
      <w:bookmarkStart w:id="742" w:name="_Toc8183"/>
      <w:bookmarkStart w:id="743" w:name="_Toc14355"/>
      <w:bookmarkStart w:id="744" w:name="_Toc15724"/>
      <w:bookmarkStart w:id="745" w:name="_Toc6824"/>
      <w:bookmarkStart w:id="746" w:name="_Toc5700"/>
      <w:bookmarkStart w:id="747" w:name="_Toc4007"/>
      <w:bookmarkStart w:id="748" w:name="_Toc3856"/>
      <w:bookmarkStart w:id="749" w:name="_Toc18947"/>
      <w:bookmarkStart w:id="750" w:name="_Toc51255546"/>
      <w:bookmarkStart w:id="751" w:name="_Toc4677"/>
      <w:r>
        <w:rPr>
          <w:rFonts w:hint="eastAsia" w:ascii="黑体" w:hAnsi="黑体" w:eastAsia="黑体" w:cs="黑体"/>
          <w:b w:val="0"/>
          <w:bCs w:val="0"/>
          <w:highlight w:val="none"/>
        </w:rPr>
        <w:t>二、全面实施数字农业行动</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推进5G+智慧农业体系建设</w:t>
      </w:r>
      <w:r>
        <w:rPr>
          <w:rFonts w:hint="eastAsia" w:hAnsi="仿宋_GB2312" w:eastAsia="仿宋_GB2312" w:cs="仿宋_GB2312"/>
          <w:kern w:val="0"/>
          <w:sz w:val="32"/>
          <w:szCs w:val="22"/>
          <w:highlight w:val="none"/>
        </w:rPr>
        <w:t>。加强农业信息化建设，健全农业综合信息服务体系和助农服务综合体系，积极推进信息进村入户，鼓励企业建立产销衔接的农业服务平台，加强农业信息监测预警和发布，实现“益农信息社”全覆盖。大力发展数字农业，实施智慧农业工程和“互联网+”现代农业行动，推进物联网、云计算、大数据、移动互联网等技术在农业领域的应用，建立农业数据智能化采集、处理、应用、服务、共享体系，推进农产品质量和农资管理信息化建设，实现生产全过程可监可控、风险预警和决策辅助，建设农业物联网、农业监测预警云平台，打造智慧农业技术应用示范样板。推动大数据、北斗导航、智能控制等技术在农机装备和农机作业中的应用，研制推广农用无人机、农业机器人，探索建立无人作业农场，提升荔枝农业机械智能化水平；申请创建省级5G智慧农业产业园。建设高州市国家数字乡村试点、茂南区羊角镇和金塘镇、化州市新安镇等5G智慧乡镇。发展数字链农产业联合体等数字农业发展联盟，培育数字农业创新团队，建设一批数字农业创新示范和成果展示基地。推进农业农村资源综合管理大数据平台建设和应用。充分发挥水果大数据平台作用，依托5G技术，大力推广水果“空天地一体化”生产技术，提高茂名市水果生产技术水平。推广智慧数字化养殖，发展数字畜禽养殖场；以大放鸡岛海域国家级海洋牧场示范区为重点，推进海洋牧场可视化、信息化、智能化系统建设。</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推进“互联网+”农产品出村进城工程</w:t>
      </w:r>
      <w:r>
        <w:rPr>
          <w:rFonts w:hint="eastAsia" w:hAnsi="仿宋_GB2312" w:eastAsia="仿宋_GB2312" w:cs="仿宋_GB2312"/>
          <w:kern w:val="0"/>
          <w:sz w:val="32"/>
          <w:szCs w:val="22"/>
          <w:highlight w:val="none"/>
        </w:rPr>
        <w:t>。加快推进信</w:t>
      </w:r>
      <w:r>
        <w:rPr>
          <w:rFonts w:hint="eastAsia" w:ascii="仿宋_GB2312" w:hAnsi="仿宋_GB2312" w:eastAsia="仿宋_GB2312" w:cs="仿宋_GB2312"/>
          <w:sz w:val="32"/>
          <w:szCs w:val="22"/>
          <w:highlight w:val="none"/>
        </w:rPr>
        <w:t>息技术在农业产业链全过程的广泛应用，积极对接广东农产品“保供、稳价、安心”线上平台，举办“采购商直通车”“采购商会客室”“网红直播间”等网络对接活动，促进农产品产销高效对接，探索大宗农产品远程交易新模式。发动现代农业产业园、特色农产品优势区、农业</w:t>
      </w:r>
      <w:r>
        <w:rPr>
          <w:rFonts w:hint="eastAsia" w:hAnsi="仿宋_GB2312" w:eastAsia="仿宋_GB2312" w:cs="仿宋_GB2312"/>
          <w:kern w:val="0"/>
          <w:sz w:val="32"/>
          <w:szCs w:val="22"/>
          <w:highlight w:val="none"/>
        </w:rPr>
        <w:t>龙头企业、“菜篮子”基地和农民专业合作社等与国内、国际知名互联网企业开展合作对接，拓展平台应用覆</w:t>
      </w:r>
      <w:r>
        <w:rPr>
          <w:rFonts w:hint="eastAsia" w:ascii="仿宋_GB2312" w:hAnsi="仿宋_GB2312" w:eastAsia="仿宋_GB2312" w:cs="仿宋_GB2312"/>
          <w:sz w:val="32"/>
          <w:szCs w:val="22"/>
          <w:highlight w:val="none"/>
        </w:rPr>
        <w:t>盖面，实现多平台融合线上销售，加快推进“菜篮子”车尾箱工程建设应用，畅通农产品营销渠道，促进农产品出村进城。建立完善适应农产品网络销售的供应链体系、运营服务体系和支撑保障体系，促进农产品产销顺畅衔接、优质优价，带动农业转型升级、提质增效，拓宽农民就业增收渠道，以市场为导向推动构建现代农业产业体系、生产体系、经营体系，助力乡村振兴</w:t>
      </w:r>
      <w:r>
        <w:rPr>
          <w:rFonts w:hint="eastAsia" w:hAnsi="仿宋_GB2312" w:eastAsia="仿宋_GB2312" w:cs="仿宋_GB2312"/>
          <w:kern w:val="0"/>
          <w:sz w:val="32"/>
          <w:szCs w:val="22"/>
          <w:highlight w:val="none"/>
        </w:rPr>
        <w:t>和农业农村现代化。</w:t>
      </w:r>
    </w:p>
    <w:p>
      <w:pPr>
        <w:pStyle w:val="17"/>
        <w:ind w:firstLine="643"/>
        <w:rPr>
          <w:rFonts w:hint="eastAsia" w:ascii="仿宋_GB2312" w:hAnsi="仿宋_GB2312" w:eastAsia="仿宋_GB2312" w:cs="仿宋_GB2312"/>
          <w:highlight w:val="none"/>
        </w:rPr>
      </w:pPr>
      <w:r>
        <w:rPr>
          <w:rFonts w:hint="eastAsia" w:ascii="仿宋_GB2312" w:hAnsi="仿宋_GB2312" w:eastAsia="仿宋_GB2312" w:cs="仿宋_GB2312"/>
          <w:b/>
          <w:bCs/>
          <w:kern w:val="0"/>
          <w:szCs w:val="22"/>
          <w:highlight w:val="none"/>
        </w:rPr>
        <w:t>加快发展特色优质农产品电子商务</w:t>
      </w:r>
      <w:r>
        <w:rPr>
          <w:rFonts w:hint="eastAsia" w:ascii="仿宋_GB2312" w:hAnsi="仿宋_GB2312" w:eastAsia="仿宋_GB2312" w:cs="仿宋_GB2312"/>
          <w:kern w:val="0"/>
          <w:szCs w:val="22"/>
          <w:highlight w:val="none"/>
        </w:rPr>
        <w:t>。</w:t>
      </w:r>
      <w:r>
        <w:rPr>
          <w:rFonts w:hint="eastAsia" w:ascii="仿宋_GB2312" w:hAnsi="仿宋_GB2312" w:eastAsia="仿宋_GB2312" w:cs="仿宋_GB2312"/>
          <w:szCs w:val="32"/>
          <w:highlight w:val="none"/>
        </w:rPr>
        <w:t>大力发展农村电子商务。</w:t>
      </w:r>
      <w:r>
        <w:rPr>
          <w:rFonts w:hint="eastAsia" w:ascii="仿宋_GB2312" w:hAnsi="仿宋_GB2312" w:eastAsia="仿宋_GB2312" w:cs="仿宋_GB2312"/>
          <w:kern w:val="0"/>
          <w:szCs w:val="22"/>
          <w:highlight w:val="none"/>
        </w:rPr>
        <w:t>鼓励实施电子商务进农村综合示范，建设具有广泛性的农村电子商务发展基础设施，加快培育和壮大农业现代供应链主体。推动电子商务平台与农业种养基地、大型超市、餐饮企业对接，举办品牌农产品进社区、进机关团体等直供直销活动；鼓励行业协会、龙头企业开展农产品电子商务领域地方标准的制定，建立健全适应网络销售的农</w:t>
      </w:r>
      <w:r>
        <w:rPr>
          <w:rFonts w:hint="eastAsia" w:ascii="仿宋_GB2312" w:hAnsi="仿宋_GB2312" w:eastAsia="仿宋_GB2312" w:cs="仿宋_GB2312"/>
          <w:szCs w:val="22"/>
          <w:highlight w:val="none"/>
        </w:rPr>
        <w:t>产品质量分级、采后处理、包装配送等标准体系。</w:t>
      </w:r>
      <w:r>
        <w:rPr>
          <w:rFonts w:hint="eastAsia" w:ascii="仿宋_GB2312" w:hAnsi="仿宋_GB2312" w:eastAsia="仿宋_GB2312" w:cs="仿宋_GB2312"/>
          <w:szCs w:val="32"/>
          <w:highlight w:val="none"/>
        </w:rPr>
        <w:t>加强与知名综合电子商务平台、农产品专业电子商务平台合作，每年举办农产品“电商节”“嘉年华”等活动，积极推动“茂字号”农产品成为“网红品”。推动镇村电商集聚发展，培育跨境电商新业态。加强电子商务配套服务，开展人才培训、创业孵化、品牌建设、网络推广、金融支持，形成电子商务产业聚集。</w:t>
      </w:r>
      <w:r>
        <w:rPr>
          <w:rFonts w:hint="eastAsia" w:ascii="仿宋_GB2312" w:hAnsi="仿宋_GB2312" w:eastAsia="仿宋_GB2312" w:cs="仿宋_GB2312"/>
          <w:szCs w:val="22"/>
          <w:highlight w:val="none"/>
        </w:rPr>
        <w:t>大力构建及推广“生产基地+中央厨房+餐饮门店”等产销模式，形成线上线下融合的流通新格局，实现网上销售大数据对特色农产品生产进行精准指导，及时调整农产品生产结构，避免“丰产不丰收”的局面。探索农业产业与电子商务深度融合、共促共赢的最优路径。加强“数字农业云店”</w:t>
      </w:r>
      <w:r>
        <w:rPr>
          <w:rFonts w:hint="eastAsia" w:ascii="仿宋_GB2312" w:hAnsi="仿宋_GB2312" w:eastAsia="仿宋_GB2312" w:cs="仿宋_GB2312"/>
          <w:kern w:val="0"/>
          <w:szCs w:val="22"/>
          <w:highlight w:val="none"/>
        </w:rPr>
        <w:t>等农业云应用推广，提升“一村一品”的上云用云率，带动茂名本地特色农产品网络销售量，提升产业效益。建立健全农产品网络销售的物流设施、供应链设施和支撑保障设施。</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752" w:name="_Toc7274"/>
      <w:bookmarkStart w:id="753" w:name="_Toc51255547"/>
      <w:bookmarkStart w:id="754" w:name="_Toc12594"/>
      <w:bookmarkStart w:id="755" w:name="_Toc10123"/>
      <w:bookmarkStart w:id="756" w:name="_Toc25104"/>
      <w:bookmarkStart w:id="757" w:name="_Toc17428"/>
      <w:bookmarkStart w:id="758" w:name="_Toc1808"/>
      <w:bookmarkStart w:id="759" w:name="_Toc9037"/>
      <w:bookmarkStart w:id="760" w:name="_Toc21883"/>
      <w:bookmarkStart w:id="761" w:name="_Toc22748"/>
      <w:bookmarkStart w:id="762" w:name="_Toc10090"/>
      <w:bookmarkStart w:id="763" w:name="_Toc23950"/>
      <w:bookmarkStart w:id="764" w:name="_Toc31373"/>
      <w:bookmarkStart w:id="765" w:name="_Toc18986"/>
      <w:bookmarkStart w:id="766" w:name="_Toc13843"/>
      <w:bookmarkStart w:id="767" w:name="_Toc10853"/>
      <w:r>
        <w:rPr>
          <w:rFonts w:hint="eastAsia" w:ascii="黑体" w:hAnsi="黑体" w:eastAsia="黑体" w:cs="黑体"/>
          <w:b w:val="0"/>
          <w:bCs w:val="0"/>
          <w:highlight w:val="none"/>
        </w:rPr>
        <w:t>三、促进科技产业一体化发展</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推动农业科技创新</w:t>
      </w:r>
      <w:r>
        <w:rPr>
          <w:rFonts w:hint="eastAsia" w:hAnsi="仿宋_GB2312" w:eastAsia="仿宋_GB2312" w:cs="仿宋_GB2312"/>
          <w:kern w:val="0"/>
          <w:sz w:val="32"/>
          <w:szCs w:val="22"/>
          <w:highlight w:val="none"/>
        </w:rPr>
        <w:t>。积极对接</w:t>
      </w:r>
      <w:r>
        <w:rPr>
          <w:rFonts w:hint="eastAsia" w:ascii="仿宋_GB2312" w:hAnsi="仿宋_GB2312" w:eastAsia="仿宋_GB2312" w:cs="仿宋_GB2312"/>
          <w:sz w:val="32"/>
          <w:szCs w:val="22"/>
          <w:highlight w:val="none"/>
        </w:rPr>
        <w:t>粤港澳大湾区农业科技人才与成果体系，强化一体化协作机制，按照目标一致、技术衔接、优势互补的原则，协同开展技术攻关和产品研发。加强产学研合作，推进岭南现代农业科学与技术广东省实验室茂名分中心、华南农业大学茂名现代农业研究院、广东省农业科学院茂名分院建设，2022年底，实现岭南现代农业科学与技术广东省实验室茂名分中心基本平稳运行。</w:t>
      </w:r>
      <w:r>
        <w:rPr>
          <w:rFonts w:hint="eastAsia" w:ascii="仿宋_GB2312" w:hAnsi="仿宋_GB2312" w:eastAsia="仿宋_GB2312" w:cs="仿宋_GB2312"/>
          <w:color w:val="auto"/>
          <w:sz w:val="32"/>
          <w:szCs w:val="22"/>
          <w:highlight w:val="none"/>
        </w:rPr>
        <w:t>充分发挥广东茂名国家农业科技园区、茂南区广东省农业科技园区、高州市广东省农业科技园区作用，提升各国家级、省级现代农业产业园科技创新水平，聚集创新资源，培育农业农村发展新动能。</w:t>
      </w:r>
      <w:r>
        <w:rPr>
          <w:rFonts w:hint="eastAsia" w:ascii="仿宋_GB2312" w:hAnsi="仿宋_GB2312" w:eastAsia="仿宋_GB2312" w:cs="仿宋_GB2312"/>
          <w:sz w:val="32"/>
          <w:szCs w:val="22"/>
          <w:highlight w:val="none"/>
        </w:rPr>
        <w:t>完善共建共享机制，构建“一站式”</w:t>
      </w:r>
      <w:r>
        <w:rPr>
          <w:rFonts w:hint="eastAsia" w:hAnsi="仿宋_GB2312" w:eastAsia="仿宋_GB2312" w:cs="仿宋_GB2312"/>
          <w:kern w:val="0"/>
          <w:sz w:val="32"/>
          <w:szCs w:val="22"/>
          <w:highlight w:val="none"/>
        </w:rPr>
        <w:t>服务平台，提高数据、种质等科技资源利用效率。加强全市荔枝保鲜等农业核心关键技</w:t>
      </w:r>
      <w:r>
        <w:rPr>
          <w:rFonts w:hint="eastAsia" w:ascii="仿宋_GB2312" w:hAnsi="仿宋_GB2312" w:eastAsia="仿宋_GB2312" w:cs="仿宋_GB2312"/>
          <w:sz w:val="32"/>
          <w:szCs w:val="22"/>
          <w:highlight w:val="none"/>
        </w:rPr>
        <w:t>术攻关，推进全国荔枝气象服务中心建设，突破制约现代农业发展的瓶颈，带动全市农业科技创新能力、效率和应用水平整体提升，为全市质量兴农提供全程技术服务，努力解决科技推广“最后一公里”</w:t>
      </w:r>
      <w:r>
        <w:rPr>
          <w:rFonts w:hint="eastAsia" w:ascii="仿宋_GB2312" w:hAnsi="仿宋_GB2312" w:eastAsia="仿宋_GB2312" w:cs="仿宋_GB2312"/>
          <w:kern w:val="0"/>
          <w:sz w:val="32"/>
          <w:szCs w:val="22"/>
          <w:highlight w:val="none"/>
        </w:rPr>
        <w:t>问</w:t>
      </w:r>
      <w:r>
        <w:rPr>
          <w:rFonts w:hint="eastAsia" w:hAnsi="仿宋_GB2312" w:eastAsia="仿宋_GB2312" w:cs="仿宋_GB2312"/>
          <w:kern w:val="0"/>
          <w:sz w:val="32"/>
          <w:szCs w:val="22"/>
          <w:highlight w:val="none"/>
        </w:rPr>
        <w:t>题。力争2025年农业科技进步贡献率达到75%，科技创新能力和引领农业农村现代化建设的能力处于省内领先水平。</w:t>
      </w:r>
    </w:p>
    <w:p>
      <w:pPr>
        <w:autoSpaceDE w:val="0"/>
        <w:autoSpaceDN w:val="0"/>
        <w:adjustRightInd w:val="0"/>
        <w:spacing w:line="600" w:lineRule="exact"/>
        <w:ind w:firstLine="643" w:firstLineChars="200"/>
        <w:rPr>
          <w:rFonts w:hint="eastAsia" w:ascii="仿宋_GB2312" w:hAnsi="仿宋_GB2312" w:eastAsia="仿宋_GB2312" w:cs="仿宋_GB2312"/>
          <w:sz w:val="32"/>
          <w:szCs w:val="22"/>
          <w:highlight w:val="none"/>
        </w:rPr>
      </w:pPr>
      <w:r>
        <w:rPr>
          <w:rFonts w:hint="eastAsia" w:hAnsi="仿宋_GB2312" w:eastAsia="仿宋_GB2312" w:cs="仿宋_GB2312"/>
          <w:b/>
          <w:bCs/>
          <w:kern w:val="0"/>
          <w:sz w:val="32"/>
          <w:szCs w:val="22"/>
          <w:highlight w:val="none"/>
        </w:rPr>
        <w:t>实施种业翻身仗攻坚行动</w:t>
      </w:r>
      <w:r>
        <w:rPr>
          <w:rFonts w:hint="eastAsia" w:hAnsi="仿宋_GB2312" w:eastAsia="仿宋_GB2312" w:cs="仿宋_GB2312"/>
          <w:kern w:val="0"/>
          <w:sz w:val="32"/>
          <w:szCs w:val="22"/>
          <w:highlight w:val="none"/>
        </w:rPr>
        <w:t>。</w:t>
      </w:r>
      <w:r>
        <w:rPr>
          <w:rFonts w:hint="eastAsia" w:ascii="仿宋_GB2312" w:hAnsi="仿宋_GB2312" w:eastAsia="仿宋_GB2312" w:cs="仿宋_GB2312"/>
          <w:kern w:val="0"/>
          <w:sz w:val="32"/>
          <w:szCs w:val="22"/>
          <w:highlight w:val="none"/>
        </w:rPr>
        <w:t>充分发挥粤港澳大湾区农业科技教育人才资源丰富和茂名市种质资源丰富的优势，在种业科技创新、资源共享、人才培养方面发挥引领作用。实施现代种业提升工程，</w:t>
      </w:r>
      <w:r>
        <w:rPr>
          <w:rFonts w:hint="eastAsia" w:ascii="仿宋_GB2312" w:hAnsi="仿宋_GB2312" w:eastAsia="仿宋_GB2312" w:cs="仿宋_GB2312"/>
          <w:sz w:val="32"/>
          <w:szCs w:val="32"/>
          <w:highlight w:val="none"/>
        </w:rPr>
        <w:t>开展农作物种质资源、畜禽种质资源、水产种质资源摸查收集，夯实农业种质资源保护利用基础。加快国家荔枝种质资源圃建设及荔枝种质资源收集，</w:t>
      </w:r>
      <w:r>
        <w:rPr>
          <w:rFonts w:hint="eastAsia" w:ascii="仿宋_GB2312" w:hAnsi="仿宋_GB2312" w:eastAsia="仿宋_GB2312" w:cs="仿宋_GB2312"/>
          <w:kern w:val="0"/>
          <w:sz w:val="32"/>
          <w:szCs w:val="22"/>
          <w:highlight w:val="none"/>
        </w:rPr>
        <w:t>打造有全球竞争力的国家（茂名）特色种业创新中心、世界最大的荔枝种质资源圃。</w:t>
      </w:r>
      <w:r>
        <w:rPr>
          <w:rFonts w:hint="eastAsia" w:ascii="仿宋_GB2312" w:hAnsi="仿宋_GB2312" w:eastAsia="仿宋_GB2312" w:cs="仿宋_GB2312"/>
          <w:sz w:val="32"/>
          <w:szCs w:val="32"/>
          <w:highlight w:val="none"/>
        </w:rPr>
        <w:t>开展龙眼、化橘红、沉香等特色物种种质资源保种基地建设。保护好高州“野生稻”种质资源，选育水稻新品种，</w:t>
      </w:r>
      <w:r>
        <w:rPr>
          <w:rFonts w:hint="eastAsia" w:ascii="仿宋_GB2312" w:hAnsi="仿宋_GB2312" w:eastAsia="仿宋_GB2312" w:cs="仿宋_GB2312"/>
          <w:sz w:val="32"/>
          <w:szCs w:val="22"/>
          <w:highlight w:val="none"/>
        </w:rPr>
        <w:t>创新杂交优势、分子育种、高效制繁种等关键技术研发，创新并选育一批适销对路、熟期合理、品质优良的品种，加快新一轮品种更新换代。</w:t>
      </w:r>
      <w:r>
        <w:rPr>
          <w:rFonts w:hint="eastAsia" w:ascii="仿宋_GB2312" w:hAnsi="仿宋_GB2312" w:eastAsia="仿宋_GB2312" w:cs="仿宋_GB2312"/>
          <w:sz w:val="32"/>
          <w:szCs w:val="32"/>
          <w:highlight w:val="none"/>
        </w:rPr>
        <w:t>加大信宜怀乡鸡国家原种场、本地小耳花猪保种开发利用，</w:t>
      </w:r>
      <w:r>
        <w:rPr>
          <w:rFonts w:hint="eastAsia" w:ascii="仿宋_GB2312" w:hAnsi="仿宋_GB2312" w:eastAsia="仿宋_GB2312" w:cs="仿宋_GB2312"/>
          <w:sz w:val="32"/>
          <w:szCs w:val="22"/>
          <w:highlight w:val="none"/>
        </w:rPr>
        <w:t>加快优良品种推广，</w:t>
      </w:r>
      <w:r>
        <w:rPr>
          <w:rFonts w:hint="eastAsia" w:ascii="仿宋_GB2312" w:hAnsi="仿宋_GB2312" w:eastAsia="仿宋_GB2312" w:cs="仿宋_GB2312"/>
          <w:kern w:val="0"/>
          <w:sz w:val="32"/>
          <w:szCs w:val="22"/>
          <w:highlight w:val="none"/>
        </w:rPr>
        <w:t>加强地方资源保护与开发，加大扶持力度，突出企业主体地位，构建商业化畜禽种业</w:t>
      </w:r>
      <w:r>
        <w:rPr>
          <w:rFonts w:hint="eastAsia" w:ascii="仿宋_GB2312" w:hAnsi="仿宋_GB2312" w:eastAsia="仿宋_GB2312" w:cs="仿宋_GB2312"/>
          <w:sz w:val="32"/>
          <w:szCs w:val="22"/>
          <w:highlight w:val="none"/>
        </w:rPr>
        <w:t>体系</w:t>
      </w:r>
      <w:r>
        <w:rPr>
          <w:rFonts w:hint="eastAsia" w:ascii="仿宋_GB2312" w:hAnsi="仿宋_GB2312" w:eastAsia="仿宋_GB2312" w:cs="仿宋_GB2312"/>
          <w:sz w:val="32"/>
          <w:szCs w:val="32"/>
          <w:highlight w:val="none"/>
        </w:rPr>
        <w:t>。提高对虾、罗非鱼、石斑鱼等重要水产养殖种类良种覆盖率，</w:t>
      </w:r>
      <w:r>
        <w:rPr>
          <w:rFonts w:hint="eastAsia" w:ascii="仿宋_GB2312" w:hAnsi="仿宋_GB2312" w:eastAsia="仿宋_GB2312" w:cs="仿宋_GB2312"/>
          <w:sz w:val="32"/>
          <w:szCs w:val="22"/>
          <w:highlight w:val="none"/>
        </w:rPr>
        <w:t>构建活体种质资源库，完善原有水产原良种场能力，突破基因组选择育种、分子设计育种等现代精准育种技术，培育具有优良性状的新品种，提高良种覆盖率，调减渔业结构性过剩的大路货品种。启动开展海水鱼育种工作。加强政策扶持，发挥财政资金的引导作用，通过金融、保险、土地等政策多渠道支持</w:t>
      </w:r>
      <w:r>
        <w:rPr>
          <w:rFonts w:hint="eastAsia" w:ascii="仿宋_GB2312" w:hAnsi="仿宋_GB2312" w:eastAsia="仿宋_GB2312" w:cs="仿宋_GB2312"/>
          <w:color w:val="auto"/>
          <w:sz w:val="32"/>
          <w:szCs w:val="22"/>
          <w:highlight w:val="none"/>
        </w:rPr>
        <w:t>现代种业发展，调动现代种业企业</w:t>
      </w:r>
      <w:r>
        <w:rPr>
          <w:rFonts w:hint="eastAsia" w:ascii="仿宋_GB2312" w:hAnsi="仿宋_GB2312" w:eastAsia="仿宋_GB2312" w:cs="仿宋_GB2312"/>
          <w:sz w:val="32"/>
          <w:szCs w:val="22"/>
          <w:highlight w:val="none"/>
        </w:rPr>
        <w:t>的积极性。</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加快农业技术推广和科技成果转化</w:t>
      </w:r>
      <w:r>
        <w:rPr>
          <w:rFonts w:hint="eastAsia" w:hAnsi="仿宋_GB2312" w:eastAsia="仿宋_GB2312" w:cs="仿宋_GB2312"/>
          <w:kern w:val="0"/>
          <w:sz w:val="32"/>
          <w:szCs w:val="22"/>
          <w:highlight w:val="none"/>
        </w:rPr>
        <w:t>。继续推进基层农业技术推广体系改革发展，创新农技推广方式，积极探索公益性推广与经营性服务融</w:t>
      </w:r>
      <w:r>
        <w:rPr>
          <w:rFonts w:hint="eastAsia" w:ascii="仿宋_GB2312" w:hAnsi="仿宋_GB2312" w:eastAsia="仿宋_GB2312" w:cs="仿宋_GB2312"/>
          <w:sz w:val="32"/>
          <w:szCs w:val="22"/>
          <w:highlight w:val="none"/>
        </w:rPr>
        <w:t>合发展的新机制，促进农技推广与市场应用紧密结合，不断完善“政产学研推用”协同机制。提高“互联网+”农技推广服务信息化水平。引导社会资源积极参与农技推广工作。加快构建以农业技术推广成效为评价导向的考核机制，调动农业科研院校科研人员参与农技推广服务。鼓励和扶持高等院校涉农专业毕业生到乡镇从事农技推广服务工作，优化农技推广队伍，鼓励通过“定向招生、定向培养、定向就业”方式，为基层农技推广机构培养年轻高素质人才。持续推进科技特派员工作。鼓励乡土专家积极参与全</w:t>
      </w:r>
      <w:r>
        <w:rPr>
          <w:rFonts w:hint="eastAsia" w:ascii="仿宋_GB2312" w:hAnsi="仿宋_GB2312" w:eastAsia="仿宋_GB2312" w:cs="仿宋_GB2312"/>
          <w:kern w:val="0"/>
          <w:sz w:val="32"/>
          <w:szCs w:val="22"/>
          <w:highlight w:val="none"/>
        </w:rPr>
        <w:t>国和省级</w:t>
      </w:r>
      <w:r>
        <w:rPr>
          <w:rFonts w:hint="eastAsia" w:ascii="仿宋_GB2312" w:hAnsi="仿宋_GB2312" w:eastAsia="仿宋_GB2312" w:cs="仿宋_GB2312"/>
          <w:sz w:val="32"/>
          <w:szCs w:val="22"/>
          <w:highlight w:val="none"/>
        </w:rPr>
        <w:t>“土专家”评定，激励和保障乡土人</w:t>
      </w:r>
      <w:r>
        <w:rPr>
          <w:rFonts w:hint="eastAsia" w:hAnsi="仿宋_GB2312" w:eastAsia="仿宋_GB2312" w:cs="仿宋_GB2312"/>
          <w:kern w:val="0"/>
          <w:sz w:val="32"/>
          <w:szCs w:val="22"/>
          <w:highlight w:val="none"/>
        </w:rPr>
        <w:t>才发挥作用。</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768" w:name="_Toc3434"/>
      <w:bookmarkStart w:id="769" w:name="_Toc28142"/>
      <w:bookmarkStart w:id="770" w:name="_Toc762"/>
      <w:bookmarkStart w:id="771" w:name="_Toc51255548"/>
      <w:bookmarkStart w:id="772" w:name="_Toc3311"/>
      <w:bookmarkStart w:id="773" w:name="_Toc9810"/>
      <w:bookmarkStart w:id="774" w:name="_Toc20911"/>
      <w:bookmarkStart w:id="775" w:name="_Toc16144"/>
      <w:bookmarkStart w:id="776" w:name="_Toc8351"/>
      <w:bookmarkStart w:id="777" w:name="_Toc16549"/>
      <w:bookmarkStart w:id="778" w:name="_Toc3127"/>
      <w:bookmarkStart w:id="779" w:name="_Toc24628"/>
      <w:bookmarkStart w:id="780" w:name="_Toc16761"/>
      <w:bookmarkStart w:id="781" w:name="_Toc4445"/>
      <w:bookmarkStart w:id="782" w:name="_Toc22605"/>
      <w:bookmarkStart w:id="783" w:name="_Toc29245"/>
      <w:r>
        <w:rPr>
          <w:rFonts w:hint="eastAsia" w:ascii="黑体" w:hAnsi="黑体" w:eastAsia="黑体" w:cs="黑体"/>
          <w:b w:val="0"/>
          <w:bCs w:val="0"/>
          <w:highlight w:val="none"/>
        </w:rPr>
        <w:t>四、改善提升设施装备条件</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提升农业现代装备水平</w:t>
      </w:r>
      <w:r>
        <w:rPr>
          <w:rFonts w:hint="eastAsia" w:hAnsi="仿宋_GB2312" w:eastAsia="仿宋_GB2312" w:cs="仿宋_GB2312"/>
          <w:kern w:val="0"/>
          <w:sz w:val="32"/>
          <w:szCs w:val="22"/>
          <w:highlight w:val="none"/>
        </w:rPr>
        <w:t>。持续推进主要农作物生产全程机械化、特色作物生产和畜禽规模养殖主要环节机械化，积极推进作物品种、栽培技术和机械装备集成配套，促进农机农艺融合，提高农机装备智能决策和精准作业能力。力争到2025年，全市农机总动力超过224万千瓦，主要农作物耕种收综合机械化率达到56%，水稻耕种收综合机械化率达到78%；农机社会化服务覆盖全市。加快农产品贮藏保鲜、畜禽屠宰、冷链物流</w:t>
      </w:r>
      <w:r>
        <w:rPr>
          <w:rFonts w:hint="eastAsia" w:ascii="仿宋_GB2312" w:hAnsi="仿宋_GB2312" w:eastAsia="仿宋_GB2312" w:cs="仿宋_GB2312"/>
          <w:sz w:val="32"/>
          <w:szCs w:val="22"/>
          <w:highlight w:val="none"/>
        </w:rPr>
        <w:t>、收割烘干等加工设施建设，完善农村机电排灌、现代渔业技术装备、病虫害统防统治和动植物疫病防控、农业气象灾害监测（基本实现村村有气象观测、有大喇叭）等设施，提升预报、预警、防</w:t>
      </w:r>
      <w:r>
        <w:rPr>
          <w:rFonts w:hint="eastAsia" w:ascii="仿宋_GB2312" w:hAnsi="仿宋_GB2312" w:eastAsia="仿宋_GB2312" w:cs="仿宋_GB2312"/>
          <w:kern w:val="0"/>
          <w:sz w:val="32"/>
          <w:szCs w:val="22"/>
          <w:highlight w:val="none"/>
        </w:rPr>
        <w:t>御、应急处</w:t>
      </w:r>
      <w:r>
        <w:rPr>
          <w:rFonts w:hint="eastAsia" w:hAnsi="仿宋_GB2312" w:eastAsia="仿宋_GB2312" w:cs="仿宋_GB2312"/>
          <w:kern w:val="0"/>
          <w:sz w:val="32"/>
          <w:szCs w:val="22"/>
          <w:highlight w:val="none"/>
        </w:rPr>
        <w:t>置能力和水平。加快发展设施农业。</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提升农业高效节约用水能力</w:t>
      </w:r>
      <w:r>
        <w:rPr>
          <w:rFonts w:hint="eastAsia" w:hAnsi="仿宋_GB2312" w:eastAsia="仿宋_GB2312" w:cs="仿宋_GB2312"/>
          <w:kern w:val="0"/>
          <w:sz w:val="32"/>
          <w:szCs w:val="22"/>
          <w:highlight w:val="none"/>
        </w:rPr>
        <w:t>。建立节约高效的农业用水制度，实施农业节水行动。推进涉及农业供水的水库、灌区主干渠以及田间毛渠等工程建设及维修养护，发展管道输水灌溉，提高工程供水效率。探索建立农业用水精准补贴和节水奖励机制。加强土壤墒情监测，推广农机农艺相结合的节水措施，推广喷灌、滴灌、水肥一体化、水肥药一体化、地膜覆盖等节水种植技术，推广自动饮水、干清粪、微生物发酵等节水养殖技术，提升水资源利用率。</w:t>
      </w:r>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加快冷链物流体系建设</w:t>
      </w:r>
      <w:r>
        <w:rPr>
          <w:rFonts w:hint="eastAsia" w:hAnsi="仿宋_GB2312" w:eastAsia="仿宋_GB2312" w:cs="仿宋_GB2312"/>
          <w:kern w:val="0"/>
          <w:sz w:val="32"/>
          <w:szCs w:val="22"/>
          <w:highlight w:val="none"/>
        </w:rPr>
        <w:t>。加快建设冷链物流配送、粤西初级农产品田头冷库和冷链物流园区，改造升级农产品产地市场，构建跨区域冷链物流体系。</w:t>
      </w:r>
      <w:r>
        <w:rPr>
          <w:rFonts w:hint="eastAsia" w:ascii="仿宋_GB2312" w:hAnsi="仿宋_GB2312" w:eastAsia="仿宋_GB2312" w:cs="仿宋_GB2312"/>
          <w:sz w:val="32"/>
          <w:szCs w:val="32"/>
          <w:highlight w:val="none"/>
        </w:rPr>
        <w:t>争取省级冷链物流产业园等功能性产业园落户茂名。</w:t>
      </w:r>
      <w:r>
        <w:rPr>
          <w:rFonts w:hint="eastAsia" w:hAnsi="仿宋_GB2312" w:eastAsia="仿宋_GB2312" w:cs="仿宋_GB2312"/>
          <w:kern w:val="0"/>
          <w:sz w:val="32"/>
          <w:szCs w:val="22"/>
          <w:highlight w:val="none"/>
        </w:rPr>
        <w:t>重点培育第三方农产品冷链物流企业，支持农业经营主体建设智慧物流仓储设施（中央厨房总仓），不断完善配送体系。在特色农产品主产区加快建设产地预冷、冷链加工配送设施，逐步形成辐射全国的冷链物流基础设施网络体系、冷链物流绿色货运体系、冷链物流质量品质控制体系和冷链物流智慧体系。大力推广“田头小站”，不断完善“田头小站”功能设施，全面提高标准化、信息化水平，促进区域内分散的冷藏保鲜设施资源高效、合理配置。建立和完善农产品“田头小站”冷藏保鲜服务网络，推动形成集中仓储、共同配送、仓配一体等新型服务网络机制，从源头加快解决农产品出村进城“最初一公里”问题。至2022年，建设“田头小站”220个；至2023年，建设“田头小站”230个。</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784" w:name="_Toc21455"/>
      <w:bookmarkStart w:id="785" w:name="_Toc26338"/>
      <w:bookmarkStart w:id="786" w:name="_Toc11614"/>
      <w:bookmarkStart w:id="787" w:name="_Toc3741"/>
      <w:bookmarkStart w:id="788" w:name="_Toc6338"/>
      <w:bookmarkStart w:id="789" w:name="_Toc16930"/>
      <w:bookmarkStart w:id="790" w:name="_Toc19661"/>
      <w:bookmarkStart w:id="791" w:name="_Toc20136"/>
      <w:bookmarkStart w:id="792" w:name="_Toc25565"/>
      <w:bookmarkStart w:id="793" w:name="_Toc26039"/>
      <w:bookmarkStart w:id="794" w:name="_Toc14969"/>
      <w:bookmarkStart w:id="795" w:name="_Toc29541"/>
      <w:bookmarkStart w:id="796" w:name="_Toc14561"/>
      <w:bookmarkStart w:id="797" w:name="_Toc30036"/>
      <w:bookmarkStart w:id="798" w:name="_Toc7306"/>
      <w:bookmarkStart w:id="799" w:name="_Toc51255549"/>
      <w:r>
        <w:rPr>
          <w:rFonts w:hint="eastAsia" w:ascii="黑体" w:hAnsi="黑体" w:eastAsia="黑体" w:cs="黑体"/>
          <w:b w:val="0"/>
          <w:bCs w:val="0"/>
          <w:highlight w:val="none"/>
        </w:rPr>
        <w:t>五、全面实施质量强农战略</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autoSpaceDE w:val="0"/>
        <w:autoSpaceDN w:val="0"/>
        <w:adjustRightInd w:val="0"/>
        <w:spacing w:line="600" w:lineRule="exact"/>
        <w:ind w:firstLine="643" w:firstLineChars="20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健全农产品质量安全保障机制</w:t>
      </w:r>
      <w:r>
        <w:rPr>
          <w:rFonts w:hint="eastAsia" w:hAnsi="仿宋_GB2312" w:eastAsia="仿宋_GB2312" w:cs="仿宋_GB2312"/>
          <w:kern w:val="0"/>
          <w:sz w:val="32"/>
          <w:szCs w:val="22"/>
          <w:highlight w:val="none"/>
        </w:rPr>
        <w:t>。建设农产品质量安全风险评估中心，完善质量安全检验检测体系，增强风险监测排查能力、重大风险识别与预警能力。对标国际先进水平，加快完善农产品质量和食品安全地方标准体系，深入推进</w:t>
      </w:r>
      <w:r>
        <w:rPr>
          <w:rFonts w:hint="eastAsia" w:ascii="仿宋_GB2312" w:hAnsi="仿宋_GB2312" w:eastAsia="仿宋_GB2312" w:cs="仿宋_GB2312"/>
          <w:kern w:val="0"/>
          <w:sz w:val="32"/>
          <w:szCs w:val="22"/>
          <w:highlight w:val="none"/>
        </w:rPr>
        <w:t>农产品生产投入品使用规范化。推进农产品、主要农业生产资料追溯体系建设，逐步推进农产品合格证制度，推广“合格证+追溯码”模式，推动追溯管理与市场准入相衔接。</w:t>
      </w:r>
      <w:r>
        <w:rPr>
          <w:rFonts w:hint="eastAsia" w:hAnsi="仿宋_GB2312" w:eastAsia="仿宋_GB2312" w:cs="仿宋_GB2312"/>
          <w:color w:val="auto"/>
          <w:kern w:val="0"/>
          <w:sz w:val="32"/>
          <w:szCs w:val="22"/>
          <w:highlight w:val="none"/>
        </w:rPr>
        <w:t>加快建设农产品质量安全信用体系，推进农业标准化生产，建立生产记录台账制度，引导支持规模经营主体按标生产。对有条件、规模以上企业进行重点培育，推动企业引进先进质量管理体系，提高企业质量管理水平和市场竞争力。</w:t>
      </w:r>
      <w:r>
        <w:rPr>
          <w:rFonts w:hint="eastAsia" w:ascii="仿宋_GB2312" w:hAnsi="仿宋_GB2312" w:eastAsia="仿宋_GB2312" w:cs="仿宋_GB2312"/>
          <w:kern w:val="0"/>
          <w:sz w:val="32"/>
          <w:szCs w:val="22"/>
          <w:highlight w:val="none"/>
        </w:rPr>
        <w:t>落实生产经营主体责任，要求农业产业化龙头企业、“两品一标”获证企业、农业示范基地、省级重大项目承担单位实行农产品和农业投入品可追溯。到</w:t>
      </w:r>
      <w:r>
        <w:rPr>
          <w:rFonts w:hint="eastAsia" w:hAnsi="仿宋_GB2312" w:eastAsia="仿宋_GB2312" w:cs="仿宋_GB2312"/>
          <w:kern w:val="0"/>
          <w:sz w:val="32"/>
          <w:szCs w:val="22"/>
          <w:highlight w:val="none"/>
        </w:rPr>
        <w:t>2025年，</w:t>
      </w:r>
      <w:r>
        <w:rPr>
          <w:rFonts w:hint="eastAsia" w:ascii="仿宋_GB2312" w:hAnsi="仿宋_GB2312" w:eastAsia="仿宋_GB2312" w:cs="仿宋_GB2312"/>
          <w:kern w:val="0"/>
          <w:sz w:val="32"/>
          <w:szCs w:val="22"/>
          <w:highlight w:val="none"/>
        </w:rPr>
        <w:t>全部省级龙头企业、“菜篮子”基地</w:t>
      </w:r>
      <w:r>
        <w:rPr>
          <w:rFonts w:hint="eastAsia" w:hAnsi="仿宋_GB2312" w:eastAsia="仿宋_GB2312" w:cs="仿宋_GB2312"/>
          <w:kern w:val="0"/>
          <w:sz w:val="32"/>
          <w:szCs w:val="22"/>
          <w:highlight w:val="none"/>
        </w:rPr>
        <w:t>农产品实现可追溯。落实食用农产品合格证制度，全部正常生产经营的食用农产品生产企业、农民专业合作社、家庭农场及蔬菜、水果、畜禽、禽蛋、养殖水产品5大类农产品的合格证使用率达100%，合格证制度的推行工作取得显著成效。</w:t>
      </w:r>
    </w:p>
    <w:p>
      <w:pPr>
        <w:autoSpaceDE w:val="0"/>
        <w:autoSpaceDN w:val="0"/>
        <w:spacing w:line="600" w:lineRule="exact"/>
        <w:ind w:firstLine="643" w:firstLineChars="200"/>
        <w:rPr>
          <w:rFonts w:hint="eastAsia" w:hAnsi="仿宋_GB2312" w:cs="仿宋_GB2312"/>
          <w:highlight w:val="none"/>
        </w:rPr>
      </w:pPr>
      <w:r>
        <w:rPr>
          <w:rFonts w:hint="eastAsia" w:hAnsi="仿宋_GB2312" w:eastAsia="仿宋_GB2312" w:cs="仿宋_GB2312"/>
          <w:b/>
          <w:bCs/>
          <w:kern w:val="0"/>
          <w:sz w:val="32"/>
          <w:szCs w:val="22"/>
          <w:highlight w:val="none"/>
        </w:rPr>
        <w:t>实施农业品牌提升工程</w:t>
      </w:r>
      <w:r>
        <w:rPr>
          <w:rFonts w:hint="eastAsia" w:hAnsi="仿宋_GB2312" w:eastAsia="仿宋_GB2312" w:cs="仿宋_GB2312"/>
          <w:kern w:val="0"/>
          <w:sz w:val="32"/>
          <w:szCs w:val="22"/>
          <w:highlight w:val="none"/>
        </w:rPr>
        <w:t>。创设一批茂名农业品牌监管保护政策措施，保护地理标志农产品。扶强一批区域公用品牌、提升一批企业品牌、精炼一批产品品牌，完善农业标准体系，制定完善农产品生产、加工技术标准和工作规程，促进全市标准与国际接轨。积极开展品牌营销行动，举办农业品牌专场热销活动，组织新媒体充分运用直播等新形式集中宣传并带动网络销售。用好外展平台，加快茂名农产品走出去步伐。</w:t>
      </w:r>
    </w:p>
    <w:tbl>
      <w:tblPr>
        <w:tblStyle w:val="14"/>
        <w:tblW w:w="0" w:type="auto"/>
        <w:jc w:val="center"/>
        <w:shd w:val="clear" w:color="auto" w:fill="FFFFFF"/>
        <w:tblLayout w:type="fixed"/>
        <w:tblCellMar>
          <w:top w:w="0" w:type="dxa"/>
          <w:left w:w="108" w:type="dxa"/>
          <w:bottom w:w="0" w:type="dxa"/>
          <w:right w:w="108" w:type="dxa"/>
        </w:tblCellMar>
      </w:tblPr>
      <w:tblGrid>
        <w:gridCol w:w="8300"/>
      </w:tblGrid>
      <w:tr>
        <w:tblPrEx>
          <w:tblCellMar>
            <w:top w:w="0" w:type="dxa"/>
            <w:left w:w="108" w:type="dxa"/>
            <w:bottom w:w="0" w:type="dxa"/>
            <w:right w:w="108" w:type="dxa"/>
          </w:tblCellMar>
        </w:tblPrEx>
        <w:trPr>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utoSpaceDE w:val="0"/>
              <w:spacing w:before="156" w:beforeLines="50" w:after="156" w:afterLines="50" w:line="360" w:lineRule="exact"/>
              <w:ind w:firstLine="480" w:firstLineChars="200"/>
              <w:jc w:val="center"/>
              <w:rPr>
                <w:rFonts w:ascii="Times New Roman" w:hAnsi="Times New Roman"/>
                <w:b/>
                <w:bCs/>
                <w:sz w:val="28"/>
                <w:szCs w:val="28"/>
                <w:highlight w:val="none"/>
              </w:rPr>
            </w:pPr>
            <w:r>
              <w:rPr>
                <w:rFonts w:hint="eastAsia" w:ascii="黑体" w:hAnsi="黑体" w:eastAsia="黑体" w:cs="黑体"/>
                <w:b w:val="0"/>
                <w:bCs w:val="0"/>
                <w:sz w:val="24"/>
                <w:szCs w:val="21"/>
                <w:highlight w:val="none"/>
              </w:rPr>
              <w:t>专栏二 建设精准化现代农业生产体系</w:t>
            </w:r>
          </w:p>
        </w:tc>
      </w:tr>
      <w:tr>
        <w:tblPrEx>
          <w:tblCellMar>
            <w:top w:w="0" w:type="dxa"/>
            <w:left w:w="108" w:type="dxa"/>
            <w:bottom w:w="0" w:type="dxa"/>
            <w:right w:w="108" w:type="dxa"/>
          </w:tblCellMar>
        </w:tblPrEx>
        <w:trPr>
          <w:trHeight w:val="543" w:hRule="atLeast"/>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（一）农业绿色发展七大攻坚行动</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深入推进农业标准化生产、生态健康养殖、化肥减量增效、农药减量控害、畜禽粪污资源化利用、农膜回收行动、农药包装废弃物回收等七大攻坚行动，充分发挥茂名市生态发展区的绿色优势，打造全省绿色生态发展示范区。</w:t>
            </w:r>
          </w:p>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（二）“互联网+”农产品出村进城工程</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积极对接广东农产品“保供、稳价、安心”线上平台，举办“采购商直通车”“采购商会客室”“网红直播间”等网络对接活动，促进农产品产销高效对接，探索大宗农产品远程交易新模式；加快推进“菜篮子”车尾箱工程建设应用，畅通农产品营销渠道，促进农产品出村进城。建立完善适应农产品网络销售的供应链体系、运营服务体系和支撑保障体系。</w:t>
            </w:r>
          </w:p>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（三）实施种业翻身仗攻坚行动</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实施现代种业提升工程，开展农作物种质资源、畜禽种质资源、水产种质资源摸查收集，夯实农业种质资源保护利用基础。加快国家荔枝种质资源圃建设及荔枝种质资源收集，打造有全球竞争力的国家（茂名）特色种业创新中心、世界最大的荔枝种质资源圃。开展龙眼、化橘红、沉香等特色物种种质资源保种基地建设。保护好高州“野生稻”种质资源，选育水稻新品种。加大信宜怀乡鸡国家原种场、本地小耳花猪保种开发利用。提高对虾、罗非鱼、石斑鱼等重要水产养殖种类良种覆盖率。</w:t>
            </w:r>
          </w:p>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（四）现代农业装备提升工程</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持续推进主要农作物生产全程机械化、特色作物生产和畜禽规模养殖主要环节机械化，积极推进作物品种、栽培技术和机械装备集成配套，促进农机农艺融合，提高农机装备智能决策和精准作业能力。探索建立茂名市农业机械购置补贴目录，对适合茂名但未列入国家通用类农业机械购置补贴目录的农业机械进行补贴。力争到2025年，全市农机总动力超过224万千瓦，主要农作物耕种收综合机械化率达到</w:t>
            </w:r>
            <w:r>
              <w:rPr>
                <w:rFonts w:hint="eastAsia" w:ascii="仿宋_GB2312" w:hAnsi="仿宋_GB2312" w:eastAsia="仿宋_GB2312" w:cs="仿宋_GB2312"/>
                <w:color w:val="auto"/>
                <w:kern w:val="0"/>
                <w:sz w:val="24"/>
                <w:szCs w:val="20"/>
                <w:highlight w:val="none"/>
              </w:rPr>
              <w:t>56</w:t>
            </w:r>
            <w:r>
              <w:rPr>
                <w:rFonts w:hint="eastAsia" w:ascii="仿宋_GB2312" w:hAnsi="仿宋_GB2312" w:eastAsia="仿宋_GB2312" w:cs="仿宋_GB2312"/>
                <w:kern w:val="0"/>
                <w:sz w:val="24"/>
                <w:szCs w:val="20"/>
                <w:highlight w:val="none"/>
              </w:rPr>
              <w:t>%，水稻耕种收综合机械化率达到78%，农机社会化服务覆盖全市。</w:t>
            </w:r>
          </w:p>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（五）农业品牌提升工程</w:t>
            </w:r>
          </w:p>
          <w:p>
            <w:pPr>
              <w:autoSpaceDE w:val="0"/>
              <w:autoSpaceDN w:val="0"/>
              <w:adjustRightInd w:val="0"/>
              <w:spacing w:line="360" w:lineRule="auto"/>
              <w:ind w:firstLine="480" w:firstLineChars="200"/>
              <w:jc w:val="left"/>
              <w:rPr>
                <w:rFonts w:ascii="Times New Roman" w:hAnsi="Times New Roman"/>
                <w:sz w:val="24"/>
                <w:highlight w:val="none"/>
              </w:rPr>
            </w:pPr>
            <w:r>
              <w:rPr>
                <w:rFonts w:hint="eastAsia" w:ascii="仿宋_GB2312" w:hAnsi="仿宋_GB2312" w:eastAsia="仿宋_GB2312" w:cs="仿宋_GB2312"/>
                <w:kern w:val="0"/>
                <w:sz w:val="24"/>
                <w:szCs w:val="20"/>
                <w:highlight w:val="none"/>
              </w:rPr>
              <w:t>创设一批茂名农业品牌监管保护政策措施，扶强一批区域公用品牌、提升一批企业品牌、精炼一批产品品牌。完善农业标准体系，引导支持规模经营主体按标生产。开展品牌营销行动，举办农业品牌专场热销活动，组织新媒体充分运用直播等新形式集中宣传并带动网络销售。用好外展平台，加快茂名农产品走出去步伐。</w:t>
            </w:r>
          </w:p>
        </w:tc>
      </w:tr>
    </w:tbl>
    <w:p>
      <w:pPr>
        <w:pStyle w:val="5"/>
        <w:spacing w:before="0" w:beforeLines="0" w:after="0" w:afterLines="0" w:line="600" w:lineRule="exact"/>
        <w:jc w:val="center"/>
        <w:rPr>
          <w:rFonts w:ascii="Times New Roman" w:hAnsi="Times New Roman" w:eastAsia="黑体"/>
          <w:b w:val="0"/>
          <w:bCs w:val="0"/>
          <w:sz w:val="32"/>
          <w:highlight w:val="none"/>
        </w:rPr>
      </w:pPr>
      <w:bookmarkStart w:id="800" w:name="_Toc19011"/>
      <w:bookmarkStart w:id="801" w:name="_Toc1386"/>
      <w:bookmarkStart w:id="802" w:name="_Toc32426"/>
      <w:bookmarkStart w:id="803" w:name="_Toc11625"/>
      <w:bookmarkStart w:id="804" w:name="_Toc4921"/>
      <w:bookmarkStart w:id="805" w:name="_Toc5771"/>
      <w:bookmarkStart w:id="806" w:name="_Toc17833"/>
      <w:bookmarkStart w:id="807" w:name="_Toc30035"/>
      <w:bookmarkStart w:id="808" w:name="_Toc14954"/>
      <w:bookmarkStart w:id="809" w:name="_Toc15135"/>
      <w:bookmarkStart w:id="810" w:name="_Toc9941"/>
      <w:bookmarkStart w:id="811" w:name="_Toc3667"/>
      <w:bookmarkStart w:id="812" w:name="_Toc10065"/>
      <w:bookmarkStart w:id="813" w:name="_Toc790"/>
      <w:bookmarkStart w:id="814" w:name="_Toc51255550"/>
      <w:bookmarkStart w:id="815" w:name="_Toc13704"/>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 xml:space="preserve">第三节 </w:t>
      </w:r>
      <w:r>
        <w:rPr>
          <w:rFonts w:hint="eastAsia" w:ascii="Times New Roman" w:hAnsi="Times New Roman" w:eastAsia="黑体"/>
          <w:b w:val="0"/>
          <w:bCs w:val="0"/>
          <w:sz w:val="32"/>
          <w:highlight w:val="none"/>
        </w:rPr>
        <w:t xml:space="preserve"> </w:t>
      </w:r>
      <w:r>
        <w:rPr>
          <w:rFonts w:ascii="Times New Roman" w:hAnsi="Times New Roman" w:eastAsia="黑体"/>
          <w:b w:val="0"/>
          <w:bCs w:val="0"/>
          <w:sz w:val="32"/>
          <w:highlight w:val="none"/>
        </w:rPr>
        <w:t>建设精益化现代农业经营体系</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816" w:name="_Toc17969"/>
      <w:bookmarkStart w:id="817" w:name="_Toc14256"/>
      <w:bookmarkStart w:id="818" w:name="_Toc22934"/>
      <w:bookmarkStart w:id="819" w:name="_Toc9216"/>
      <w:bookmarkStart w:id="820" w:name="_Toc25359"/>
      <w:bookmarkStart w:id="821" w:name="_Toc32073"/>
      <w:bookmarkStart w:id="822" w:name="_Toc23655"/>
      <w:bookmarkStart w:id="823" w:name="_Toc17397"/>
      <w:bookmarkStart w:id="824" w:name="_Toc51255551"/>
      <w:bookmarkStart w:id="825" w:name="_Toc15614"/>
      <w:bookmarkStart w:id="826" w:name="_Toc28910"/>
      <w:bookmarkStart w:id="827" w:name="_Toc323"/>
      <w:bookmarkStart w:id="828" w:name="_Toc27133"/>
      <w:bookmarkStart w:id="829" w:name="_Toc9373"/>
      <w:bookmarkStart w:id="830" w:name="_Toc27457"/>
      <w:bookmarkStart w:id="831" w:name="_Toc6458"/>
      <w:r>
        <w:rPr>
          <w:rFonts w:hint="eastAsia" w:ascii="黑体" w:hAnsi="黑体" w:eastAsia="黑体" w:cs="黑体"/>
          <w:b w:val="0"/>
          <w:bCs w:val="0"/>
          <w:highlight w:val="none"/>
        </w:rPr>
        <w:t>一、培育壮大新型农业经营主体</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autoSpaceDE w:val="0"/>
        <w:autoSpaceDN w:val="0"/>
        <w:adjustRightInd w:val="0"/>
        <w:spacing w:line="600" w:lineRule="exact"/>
        <w:ind w:firstLine="640" w:firstLineChars="2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注重新型农业经营主体发展质量，对新型农业经营主体提档升级。加强招商引资，引进外地大企业，积极培育本地企业，重点发展水果、肉品、水产品、粮食、植物油脂、南药等农产品加工业。采取土地整治整合、农户自愿互换土地等方式，扩大农户家庭经营规模，大力培育家庭农场。依托农民合作社服务中心，鼓励村集体领办或农民、家庭农场合作成立生产服务型、劳务型、资源型合作社，培育壮大省级以上合作社示范社。鼓励各类农业经营主体加强合作，推动服务链条横向拓展、纵向延伸，促进各主体多元互动、功能互补、要素互通。促进各类新型农业经营主体深度融合发展，培育和发展农业产业化联合体，鼓励建立农业类产业协会和产业联盟，引导农民合作社组建联合社，具备条件的向公司制企业发展。加快发展土地流转型、土地入股型和代耕代管、土地</w:t>
      </w:r>
      <w:r>
        <w:rPr>
          <w:rFonts w:hint="eastAsia" w:ascii="仿宋_GB2312" w:hAnsi="仿宋_GB2312" w:eastAsia="仿宋_GB2312" w:cs="仿宋_GB2312"/>
          <w:kern w:val="0"/>
          <w:sz w:val="32"/>
          <w:szCs w:val="22"/>
          <w:highlight w:val="none"/>
        </w:rPr>
        <w:t>托管等服务带动型农业适度规模经营。优化农业营商环境，形成“外引内培”双擎驱</w:t>
      </w:r>
      <w:r>
        <w:rPr>
          <w:rFonts w:hint="eastAsia" w:hAnsi="仿宋_GB2312" w:eastAsia="仿宋_GB2312" w:cs="仿宋_GB2312"/>
          <w:kern w:val="0"/>
          <w:sz w:val="32"/>
          <w:szCs w:val="22"/>
          <w:highlight w:val="none"/>
        </w:rPr>
        <w:t>动的发展形势。到2025年，全市省级以上农业龙头企业达110家，市级以上农业龙头企业200家；培育一批年销售收入超过10亿元的农业龙头企业；培育农民合作社达5500家以上、新增省市级示范家庭农场各30家以上、新增国家级合作社示范社5家以上。</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832" w:name="_Toc30752"/>
      <w:bookmarkStart w:id="833" w:name="_Toc10463"/>
      <w:bookmarkStart w:id="834" w:name="_Toc13955"/>
      <w:bookmarkStart w:id="835" w:name="_Toc51255552"/>
      <w:bookmarkStart w:id="836" w:name="_Toc24794"/>
      <w:bookmarkStart w:id="837" w:name="_Toc10608"/>
      <w:bookmarkStart w:id="838" w:name="_Toc28994"/>
      <w:bookmarkStart w:id="839" w:name="_Toc19832"/>
      <w:bookmarkStart w:id="840" w:name="_Toc6002"/>
      <w:bookmarkStart w:id="841" w:name="_Toc24163"/>
      <w:bookmarkStart w:id="842" w:name="_Toc6375"/>
      <w:bookmarkStart w:id="843" w:name="_Toc16358"/>
      <w:bookmarkStart w:id="844" w:name="_Toc26547"/>
      <w:bookmarkStart w:id="845" w:name="_Toc5931"/>
      <w:bookmarkStart w:id="846" w:name="_Toc25713"/>
      <w:bookmarkStart w:id="847" w:name="_Toc14925"/>
      <w:r>
        <w:rPr>
          <w:rFonts w:hint="eastAsia" w:ascii="黑体" w:hAnsi="黑体" w:eastAsia="黑体" w:cs="黑体"/>
          <w:b w:val="0"/>
          <w:bCs w:val="0"/>
          <w:highlight w:val="none"/>
        </w:rPr>
        <w:t>二、完善新型助农服务体系</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autoSpaceDE w:val="0"/>
        <w:autoSpaceDN w:val="0"/>
        <w:adjustRightInd w:val="0"/>
        <w:spacing w:line="600" w:lineRule="exact"/>
        <w:ind w:firstLine="640" w:firstLineChars="2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继续深化供销合作社综合改革，推动供销合作社从购销服务向农村综合服务转变。制定出台助农服务体系建设政策文件，采取政府引导、社会参与、互助合作方式，发挥供销社示范带动作用，整合邮政、农机、农技、供销、信用合作、产权交易、专业协会等公益性和经营性社会化服务资源，打造集生产、供销、信用、消费于一体的县、镇、村综合服务平台。根据人口规模、服务半径、群众需求等，在条件成熟的行政村（社区），由供销合作社对接</w:t>
      </w:r>
      <w:r>
        <w:rPr>
          <w:rFonts w:hint="eastAsia" w:ascii="仿宋_GB2312" w:hAnsi="仿宋_GB2312" w:eastAsia="仿宋_GB2312" w:cs="仿宋_GB2312"/>
          <w:kern w:val="0"/>
          <w:sz w:val="32"/>
          <w:szCs w:val="22"/>
          <w:highlight w:val="none"/>
        </w:rPr>
        <w:t>村“两委”，通</w:t>
      </w:r>
      <w:r>
        <w:rPr>
          <w:rFonts w:hint="eastAsia" w:hAnsi="仿宋_GB2312" w:eastAsia="仿宋_GB2312" w:cs="仿宋_GB2312"/>
          <w:kern w:val="0"/>
          <w:sz w:val="32"/>
          <w:szCs w:val="22"/>
          <w:highlight w:val="none"/>
        </w:rPr>
        <w:t>过社村共建或社会资本合作共建等形式，建设一批主体多元、功能完备、便民利民的公益性与经营性相结合的村级综合服务站，为农民群众提供农资供应、农技推广、农产品销售、农机</w:t>
      </w:r>
      <w:r>
        <w:rPr>
          <w:rFonts w:hint="eastAsia" w:ascii="仿宋_GB2312" w:hAnsi="仿宋_GB2312" w:eastAsia="仿宋_GB2312" w:cs="仿宋_GB2312"/>
          <w:kern w:val="0"/>
          <w:sz w:val="32"/>
          <w:szCs w:val="22"/>
          <w:highlight w:val="none"/>
        </w:rPr>
        <w:t>服务、农村电商、农村金融、生活超市、文化娱乐等服务。县级围绕现代农业产业园、农业科技园、</w:t>
      </w:r>
      <w:r>
        <w:rPr>
          <w:rFonts w:hint="eastAsia" w:ascii="仿宋_GB2312" w:hAnsi="仿宋_GB2312" w:eastAsia="仿宋_GB2312" w:cs="仿宋_GB2312"/>
          <w:sz w:val="32"/>
          <w:szCs w:val="32"/>
          <w:highlight w:val="none"/>
        </w:rPr>
        <w:t>田园综合体、</w:t>
      </w:r>
      <w:r>
        <w:rPr>
          <w:rFonts w:hint="eastAsia" w:ascii="仿宋_GB2312" w:hAnsi="仿宋_GB2312" w:eastAsia="仿宋_GB2312" w:cs="仿宋_GB2312"/>
          <w:kern w:val="0"/>
          <w:sz w:val="32"/>
          <w:szCs w:val="22"/>
          <w:highlight w:val="none"/>
        </w:rPr>
        <w:t>农业创业园，镇村级以“一村一品、一镇一业”以及</w:t>
      </w:r>
      <w:r>
        <w:rPr>
          <w:rFonts w:hint="eastAsia" w:hAnsi="仿宋_GB2312" w:eastAsia="仿宋_GB2312" w:cs="仿宋_GB2312"/>
          <w:kern w:val="0"/>
          <w:sz w:val="32"/>
          <w:szCs w:val="22"/>
          <w:highlight w:val="none"/>
        </w:rPr>
        <w:t>特色产业为服务载体。到2025年底，全市建成较为完善的集农业生产服务、农产品流通服务、农村电商服务、农村合作金融服务、城乡社区综合服务于一体的助农服务体系。</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848" w:name="_Toc18817"/>
      <w:bookmarkStart w:id="849" w:name="_Toc2015"/>
      <w:bookmarkStart w:id="850" w:name="_Toc3655"/>
      <w:bookmarkStart w:id="851" w:name="_Toc20427"/>
      <w:bookmarkStart w:id="852" w:name="_Toc30073"/>
      <w:bookmarkStart w:id="853" w:name="_Toc5960"/>
      <w:bookmarkStart w:id="854" w:name="_Toc11387"/>
      <w:bookmarkStart w:id="855" w:name="_Toc51255553"/>
      <w:bookmarkStart w:id="856" w:name="_Toc31153"/>
      <w:bookmarkStart w:id="857" w:name="_Toc27383"/>
      <w:bookmarkStart w:id="858" w:name="_Toc3613"/>
      <w:bookmarkStart w:id="859" w:name="_Toc23709"/>
      <w:bookmarkStart w:id="860" w:name="_Toc28575"/>
      <w:bookmarkStart w:id="861" w:name="_Toc23168"/>
      <w:bookmarkStart w:id="862" w:name="_Toc6765"/>
      <w:bookmarkStart w:id="863" w:name="_Toc2328"/>
      <w:r>
        <w:rPr>
          <w:rFonts w:hint="eastAsia" w:ascii="黑体" w:hAnsi="黑体" w:eastAsia="黑体" w:cs="黑体"/>
          <w:b w:val="0"/>
          <w:bCs w:val="0"/>
          <w:highlight w:val="none"/>
        </w:rPr>
        <w:t>三、完善农业社会化服务</w:t>
      </w:r>
      <w:bookmarkEnd w:id="848"/>
      <w:bookmarkEnd w:id="849"/>
      <w:bookmarkEnd w:id="850"/>
      <w:bookmarkEnd w:id="851"/>
      <w:bookmarkEnd w:id="852"/>
      <w:bookmarkEnd w:id="853"/>
      <w:bookmarkEnd w:id="854"/>
      <w:bookmarkEnd w:id="855"/>
      <w:r>
        <w:rPr>
          <w:rFonts w:hint="eastAsia" w:ascii="黑体" w:hAnsi="黑体" w:eastAsia="黑体" w:cs="黑体"/>
          <w:b w:val="0"/>
          <w:bCs w:val="0"/>
          <w:highlight w:val="none"/>
        </w:rPr>
        <w:t>体系</w:t>
      </w:r>
      <w:bookmarkEnd w:id="856"/>
      <w:bookmarkEnd w:id="857"/>
      <w:bookmarkEnd w:id="858"/>
      <w:bookmarkEnd w:id="859"/>
      <w:bookmarkEnd w:id="860"/>
      <w:bookmarkEnd w:id="861"/>
      <w:bookmarkEnd w:id="862"/>
      <w:bookmarkEnd w:id="863"/>
    </w:p>
    <w:p>
      <w:pPr>
        <w:autoSpaceDE w:val="0"/>
        <w:autoSpaceDN w:val="0"/>
        <w:adjustRightInd w:val="0"/>
        <w:spacing w:line="600" w:lineRule="exact"/>
        <w:ind w:firstLine="640" w:firstLineChars="2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持续提高小农户组织化水平，加快推进小农户和现代农业发展有机衔接，促进多元主体融合发展，鼓励小农户提升标准化水平，直接面对大市场。建立健全县级农业社会化服务运营中心、镇级农业社会化服务中心（站）和村级协办员三级农业社会化服务协办体系。引导服务组织、村集体、农民合作社等服务主体，结合本地实际，通过“村集体流转集中+生产托管”“小农户土地股份合作+生产托管”“协办员统一组织+生产托管”等多种模式创新推动开展社会化服务。加大农业社会化服务主体培育力度，重点培育以农机、植保、劳务等类型的生产服务型合作社、合作社联合社、“全程机械化+综合农事”服务联合体和村集体领办的土地股份、生产服务型合作社。积极培育农业社会化服务示范基地，加强行业指导。加强工商企业租赁农户承包地的用途监管和风险防范，健全资格审查、项目审核、风险保障金制度，维护小农户权益。制定引导农民互换并地的激励政策，实现连片耕种，鼓励小农户间联合与合作。建设农业产业化联合体，提高经营水平，通过订单农业、入股分红、托管服务等方式，将小农户融入农业产业链，持续完善新型农业经营主体同小农户的利益联结机制。到2022年底，各区（县级市）建立县级农业生产托管服务中心，专业化社会化服务协办体系基本建立。到2025年底，全市农业生产托管服务面积超100万亩，全程托管面积超5万亩，建立50个以上农业生产托管服务示范基地；全市涉农县（市、区）农业各类服务组织数量保持快速增长，服务能力明显提升，具备提供全产业链服务能力的专业化服务组织数量明显增加，培育支持50</w:t>
      </w:r>
      <w:r>
        <w:rPr>
          <w:rFonts w:hint="eastAsia" w:hAnsi="仿宋_GB2312" w:eastAsia="仿宋_GB2312" w:cs="仿宋_GB2312"/>
          <w:spacing w:val="-6"/>
          <w:kern w:val="0"/>
          <w:sz w:val="32"/>
          <w:szCs w:val="22"/>
          <w:highlight w:val="none"/>
        </w:rPr>
        <w:t>家生产服务型合作社；参与新型农业经营主体利益联结机制的农户覆盖率达到60%以上，主导产业农业社会化服务规范标准基本建立。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2" w:type="dxa"/>
            <w:noWrap w:val="0"/>
            <w:vAlign w:val="center"/>
          </w:tcPr>
          <w:p>
            <w:pPr>
              <w:autoSpaceDE w:val="0"/>
              <w:autoSpaceDN w:val="0"/>
              <w:adjustRightInd w:val="0"/>
              <w:jc w:val="center"/>
              <w:rPr>
                <w:rFonts w:ascii="Times New Roman" w:hAnsi="Times New Roman" w:eastAsia="楷体"/>
                <w:b/>
                <w:bCs/>
                <w:kern w:val="0"/>
                <w:sz w:val="24"/>
                <w:szCs w:val="20"/>
                <w:highlight w:val="none"/>
              </w:rPr>
            </w:pPr>
            <w:r>
              <w:rPr>
                <w:rFonts w:hint="eastAsia" w:ascii="黑体" w:hAnsi="黑体" w:eastAsia="黑体" w:cs="黑体"/>
                <w:b w:val="0"/>
                <w:bCs w:val="0"/>
                <w:kern w:val="0"/>
                <w:sz w:val="24"/>
                <w:szCs w:val="20"/>
                <w:highlight w:val="none"/>
              </w:rPr>
              <w:t>专栏三   建设精益化现代农业经营体系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（一）规范壮大新型农业经营主体</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注重新型农业经营主体发展质量，对新型农业经营主体提档升级。到2025年，全市省级以上农业龙头企业达110家，市级以上农业龙头企业200家；培育一批年销售收入超过10亿元的农业龙头企业；培育农民合作社达5500家以上、新增省市级示范家庭农场各30家以上、新增国家级合作社示范社5家以上。</w:t>
            </w:r>
          </w:p>
          <w:p>
            <w:pPr>
              <w:autoSpaceDE w:val="0"/>
              <w:autoSpaceDN w:val="0"/>
              <w:adjustRightInd w:val="0"/>
              <w:spacing w:line="360" w:lineRule="auto"/>
              <w:ind w:firstLine="482"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b/>
                <w:bCs/>
                <w:kern w:val="0"/>
                <w:sz w:val="24"/>
                <w:szCs w:val="20"/>
                <w:highlight w:val="none"/>
              </w:rPr>
              <w:t>（二）完善农业社会化服务体系</w:t>
            </w:r>
          </w:p>
          <w:p>
            <w:pPr>
              <w:autoSpaceDE w:val="0"/>
              <w:autoSpaceDN w:val="0"/>
              <w:adjustRightInd w:val="0"/>
              <w:spacing w:line="360" w:lineRule="auto"/>
              <w:ind w:firstLine="480" w:firstLineChars="200"/>
              <w:jc w:val="left"/>
              <w:rPr>
                <w:rFonts w:ascii="Times New Roman" w:hAnsi="Times New Roman" w:eastAsia="仿宋"/>
                <w:kern w:val="0"/>
                <w:sz w:val="24"/>
                <w:szCs w:val="20"/>
                <w:highlight w:val="none"/>
              </w:rPr>
            </w:pPr>
            <w:r>
              <w:rPr>
                <w:rFonts w:hint="eastAsia" w:ascii="仿宋_GB2312" w:hAnsi="仿宋_GB2312" w:eastAsia="仿宋_GB2312" w:cs="仿宋_GB2312"/>
                <w:color w:val="auto"/>
                <w:kern w:val="0"/>
                <w:sz w:val="24"/>
                <w:szCs w:val="20"/>
                <w:highlight w:val="none"/>
              </w:rPr>
              <w:t>完善农业社会化服务体系</w:t>
            </w:r>
            <w:r>
              <w:rPr>
                <w:rFonts w:hint="eastAsia" w:ascii="仿宋_GB2312" w:hAnsi="仿宋_GB2312" w:eastAsia="仿宋_GB2312" w:cs="仿宋_GB2312"/>
                <w:kern w:val="0"/>
                <w:sz w:val="24"/>
                <w:szCs w:val="20"/>
                <w:highlight w:val="none"/>
              </w:rPr>
              <w:t>，加快推进小农户和现代农业发展有机衔接。到2022年底，各区（县级市）建立县级农业生产托管服务中心，专业化社会化服务协办体系基本建立。到2025年底，全市农业生产托管服务面积超100万亩，全程托管面积超5万亩，建立50个以上农业生产托管服务示范基地；全市涉农县（市、区）农业各类服务组织数量保持快速增长，服务能力明显提升，具备提供全产业链服务能力的专业化服务组织数量明显增加，培育支持50家生产服务型合作社；参与新型农业经营主体利益联结机制的农户覆盖率达到60%以上，主导产业农业社会化服务规范标准基本建立。</w:t>
            </w:r>
          </w:p>
        </w:tc>
      </w:tr>
    </w:tbl>
    <w:p>
      <w:pPr>
        <w:pStyle w:val="4"/>
        <w:spacing w:before="0" w:beforeLines="0" w:after="0" w:afterLines="0" w:line="600" w:lineRule="exact"/>
        <w:jc w:val="center"/>
        <w:rPr>
          <w:rFonts w:eastAsia="方正小标宋简体"/>
          <w:b w:val="0"/>
          <w:bCs w:val="0"/>
          <w:kern w:val="2"/>
          <w:sz w:val="36"/>
          <w:szCs w:val="36"/>
          <w:highlight w:val="none"/>
        </w:rPr>
      </w:pPr>
      <w:bookmarkStart w:id="864" w:name="_Toc16167"/>
      <w:bookmarkStart w:id="865" w:name="_Toc10925"/>
      <w:bookmarkStart w:id="866" w:name="_Toc20411"/>
      <w:bookmarkStart w:id="867" w:name="_Toc22046"/>
      <w:bookmarkStart w:id="868" w:name="_Toc10838"/>
      <w:bookmarkStart w:id="869" w:name="_Toc2186"/>
      <w:bookmarkStart w:id="870" w:name="_Toc25685"/>
      <w:bookmarkStart w:id="871" w:name="_Toc18219"/>
      <w:bookmarkStart w:id="872" w:name="_Toc11083"/>
      <w:bookmarkStart w:id="873" w:name="_Toc19216"/>
      <w:bookmarkStart w:id="874" w:name="_Toc8497"/>
      <w:bookmarkStart w:id="875" w:name="_Toc10982"/>
      <w:bookmarkStart w:id="876" w:name="_Toc31382"/>
      <w:bookmarkStart w:id="877" w:name="_Toc10077"/>
      <w:bookmarkStart w:id="878" w:name="_Toc4261"/>
      <w:r>
        <w:rPr>
          <w:rFonts w:eastAsia="方正小标宋简体"/>
          <w:b w:val="0"/>
          <w:bCs w:val="0"/>
          <w:kern w:val="2"/>
          <w:sz w:val="36"/>
          <w:szCs w:val="36"/>
          <w:highlight w:val="none"/>
        </w:rPr>
        <w:br w:type="page"/>
      </w:r>
      <w:r>
        <w:rPr>
          <w:rFonts w:eastAsia="方正小标宋简体"/>
          <w:b w:val="0"/>
          <w:bCs w:val="0"/>
          <w:kern w:val="2"/>
          <w:sz w:val="36"/>
          <w:szCs w:val="36"/>
          <w:highlight w:val="none"/>
        </w:rPr>
        <w:t>第五章  塑造精美农村 实施岭南特色乡村建设行动</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7"/>
        <w:spacing w:after="0" w:afterLines="0" w:line="600" w:lineRule="exact"/>
        <w:ind w:firstLine="640" w:firstLineChars="200"/>
        <w:rPr>
          <w:rFonts w:hint="eastAsia" w:ascii="仿宋_GB2312"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坚持精美化塑造，以建设精美农村为主攻方向，扎实稳妥推进乡村建设，持续推进农村人居环境整治和农房管控，着力提升乡村风貌，促进乡村宜居宜业。加强乡村治理体系</w:t>
      </w:r>
      <w:r>
        <w:rPr>
          <w:rFonts w:hint="eastAsia" w:hAnsi="仿宋_GB2312" w:cs="仿宋_GB2312"/>
          <w:kern w:val="0"/>
          <w:sz w:val="32"/>
          <w:szCs w:val="22"/>
          <w:highlight w:val="none"/>
          <w:lang w:val="en-US" w:eastAsia="zh-CN"/>
        </w:rPr>
        <w:t>和</w:t>
      </w:r>
      <w:r>
        <w:rPr>
          <w:rFonts w:hint="eastAsia" w:hAnsi="仿宋_GB2312" w:eastAsia="仿宋_GB2312" w:cs="仿宋_GB2312"/>
          <w:kern w:val="0"/>
          <w:sz w:val="32"/>
          <w:szCs w:val="22"/>
          <w:highlight w:val="none"/>
        </w:rPr>
        <w:t>治理能力现代化建设，在促进农村全面进步中展现岭南特色精美农村风韵，展现“好心茂名”风采</w:t>
      </w:r>
      <w:r>
        <w:rPr>
          <w:rFonts w:hint="eastAsia" w:ascii="仿宋_GB2312" w:hAnsi="仿宋_GB2312" w:eastAsia="仿宋_GB2312" w:cs="仿宋_GB2312"/>
          <w:kern w:val="0"/>
          <w:sz w:val="32"/>
          <w:szCs w:val="22"/>
          <w:highlight w:val="none"/>
        </w:rPr>
        <w:t>。</w:t>
      </w:r>
    </w:p>
    <w:p>
      <w:pPr>
        <w:pStyle w:val="5"/>
        <w:spacing w:before="0" w:beforeLines="0" w:after="0" w:afterLines="0" w:line="600" w:lineRule="exact"/>
        <w:jc w:val="center"/>
        <w:rPr>
          <w:rFonts w:ascii="Times New Roman" w:hAnsi="Times New Roman" w:eastAsia="黑体"/>
          <w:b w:val="0"/>
          <w:bCs w:val="0"/>
          <w:sz w:val="32"/>
          <w:highlight w:val="none"/>
        </w:rPr>
      </w:pPr>
      <w:bookmarkStart w:id="879" w:name="_Toc15491"/>
      <w:bookmarkStart w:id="880" w:name="_Toc21387"/>
      <w:bookmarkStart w:id="881" w:name="_Toc2001"/>
      <w:bookmarkStart w:id="882" w:name="_Toc24651"/>
      <w:bookmarkStart w:id="883" w:name="_Toc14764"/>
      <w:bookmarkStart w:id="884" w:name="_Toc22576"/>
      <w:bookmarkStart w:id="885" w:name="_Toc10398"/>
      <w:bookmarkStart w:id="886" w:name="_Toc17121"/>
      <w:bookmarkStart w:id="887" w:name="_Toc29684"/>
      <w:bookmarkStart w:id="888" w:name="_Toc27704"/>
      <w:bookmarkStart w:id="889" w:name="_Toc11569"/>
      <w:bookmarkStart w:id="890" w:name="_Toc30750"/>
      <w:bookmarkStart w:id="891" w:name="_Toc10973"/>
      <w:bookmarkStart w:id="892" w:name="_Toc19957"/>
      <w:bookmarkStart w:id="893" w:name="_Toc26278"/>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第一节  全面推进乡村风貌提升</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spacing w:line="600" w:lineRule="exact"/>
        <w:ind w:firstLine="600"/>
        <w:rPr>
          <w:rFonts w:hint="eastAsia" w:hAnsi="仿宋_GB2312" w:eastAsia="仿宋_GB2312" w:cs="仿宋_GB2312"/>
          <w:sz w:val="32"/>
          <w:szCs w:val="32"/>
          <w:highlight w:val="none"/>
        </w:rPr>
      </w:pPr>
      <w:bookmarkStart w:id="894" w:name="_Toc21579"/>
      <w:r>
        <w:rPr>
          <w:rFonts w:hint="eastAsia" w:hAnsi="仿宋_GB2312" w:eastAsia="仿宋_GB2312" w:cs="仿宋_GB2312"/>
          <w:sz w:val="32"/>
          <w:szCs w:val="32"/>
          <w:highlight w:val="none"/>
        </w:rPr>
        <w:t>以村庄精美、家园精美、景观精美为目标，强化规划管控</w:t>
      </w:r>
      <w:r>
        <w:rPr>
          <w:rFonts w:hint="eastAsia" w:ascii="仿宋_GB2312" w:hAnsi="仿宋_GB2312" w:eastAsia="仿宋_GB2312" w:cs="仿宋_GB2312"/>
          <w:kern w:val="0"/>
          <w:sz w:val="32"/>
          <w:szCs w:val="22"/>
          <w:highlight w:val="none"/>
        </w:rPr>
        <w:t>，统筹县域城镇和村庄规划建设，深入开展村庄“洁化、绿化、美化”行动，奋力实现茂</w:t>
      </w:r>
      <w:r>
        <w:rPr>
          <w:rFonts w:hint="eastAsia" w:hAnsi="仿宋_GB2312" w:eastAsia="仿宋_GB2312" w:cs="仿宋_GB2312"/>
          <w:sz w:val="32"/>
          <w:szCs w:val="32"/>
          <w:highlight w:val="none"/>
        </w:rPr>
        <w:t>名农村面貌根本改变。</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895" w:name="_Toc10601"/>
      <w:bookmarkStart w:id="896" w:name="_Toc12052"/>
      <w:bookmarkStart w:id="897" w:name="_Toc26728"/>
      <w:bookmarkStart w:id="898" w:name="_Toc21753"/>
      <w:bookmarkStart w:id="899" w:name="_Toc13031"/>
      <w:bookmarkStart w:id="900" w:name="_Toc6864"/>
      <w:bookmarkStart w:id="901" w:name="_Toc7634"/>
      <w:bookmarkStart w:id="902" w:name="_Toc30181"/>
      <w:bookmarkStart w:id="903" w:name="_Toc20108"/>
      <w:bookmarkStart w:id="904" w:name="_Toc3376"/>
      <w:bookmarkStart w:id="905" w:name="_Toc18330"/>
      <w:bookmarkStart w:id="906" w:name="_Toc16857"/>
      <w:bookmarkStart w:id="907" w:name="_Toc15573"/>
      <w:bookmarkStart w:id="908" w:name="_Toc26268"/>
      <w:r>
        <w:rPr>
          <w:rFonts w:hint="eastAsia" w:ascii="黑体" w:hAnsi="黑体" w:eastAsia="黑体" w:cs="黑体"/>
          <w:b w:val="0"/>
          <w:bCs w:val="0"/>
          <w:highlight w:val="none"/>
        </w:rPr>
        <w:t>一、大力推进村庄规划提升</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widowControl/>
        <w:spacing w:line="600" w:lineRule="exact"/>
        <w:ind w:firstLine="600"/>
        <w:jc w:val="left"/>
        <w:rPr>
          <w:rFonts w:hint="eastAsia" w:hAnsi="仿宋_GB2312" w:eastAsia="仿宋_GB2312" w:cs="仿宋_GB2312"/>
          <w:sz w:val="32"/>
          <w:szCs w:val="32"/>
          <w:highlight w:val="none"/>
          <w:lang w:val="zh-CN"/>
        </w:rPr>
      </w:pPr>
      <w:r>
        <w:rPr>
          <w:rFonts w:hint="eastAsia" w:ascii="Times New Roman" w:hAnsi="仿宋_GB2312" w:eastAsia="仿宋_GB2312" w:cs="仿宋_GB2312"/>
          <w:kern w:val="0"/>
          <w:sz w:val="32"/>
          <w:szCs w:val="32"/>
          <w:highlight w:val="none"/>
          <w:lang w:val="zh-CN"/>
        </w:rPr>
        <w:t>以第三次国土调查为基础，</w:t>
      </w:r>
      <w:r>
        <w:rPr>
          <w:rFonts w:hint="eastAsia" w:ascii="Times New Roman" w:hAnsi="仿宋_GB2312" w:eastAsia="仿宋_GB2312" w:cs="仿宋_GB2312"/>
          <w:kern w:val="0"/>
          <w:sz w:val="32"/>
          <w:szCs w:val="32"/>
          <w:highlight w:val="none"/>
        </w:rPr>
        <w:t>统筹城镇和村庄布局，科学确定村庄分类，加快推进</w:t>
      </w:r>
      <w:r>
        <w:rPr>
          <w:rFonts w:hint="eastAsia" w:ascii="Times New Roman" w:hAnsi="仿宋_GB2312" w:eastAsia="仿宋_GB2312" w:cs="仿宋_GB2312"/>
          <w:kern w:val="0"/>
          <w:sz w:val="32"/>
          <w:szCs w:val="32"/>
          <w:highlight w:val="none"/>
          <w:lang w:bidi="ar"/>
        </w:rPr>
        <w:t>有条件、有需求的村庄加快重新修编“多规合一”实用性村庄规划</w:t>
      </w:r>
      <w:r>
        <w:rPr>
          <w:rFonts w:hint="eastAsia" w:ascii="Times New Roman" w:hAnsi="仿宋_GB2312" w:eastAsia="仿宋_GB2312" w:cs="仿宋_GB2312"/>
          <w:kern w:val="0"/>
          <w:sz w:val="32"/>
          <w:szCs w:val="32"/>
          <w:highlight w:val="none"/>
        </w:rPr>
        <w:t>，严格规范村庄撤并。</w:t>
      </w:r>
      <w:r>
        <w:rPr>
          <w:rFonts w:hint="eastAsia" w:hAnsi="仿宋_GB2312" w:eastAsia="仿宋_GB2312" w:cs="仿宋_GB2312"/>
          <w:sz w:val="32"/>
          <w:szCs w:val="32"/>
          <w:highlight w:val="none"/>
          <w:lang w:val="zh-CN"/>
        </w:rPr>
        <w:t>全面优化提升村庄规划，各村划定一个农村居民点建设边界，编制一张农村居民点布局图，确定一种建房风格，结合省的指引及实际分类编印农房设计图集，免费提供村民选择采用。</w:t>
      </w:r>
      <w:r>
        <w:rPr>
          <w:rFonts w:hint="eastAsia" w:ascii="Times New Roman" w:hAnsi="仿宋_GB2312" w:eastAsia="仿宋_GB2312" w:cs="仿宋_GB2312"/>
          <w:kern w:val="0"/>
          <w:sz w:val="32"/>
          <w:szCs w:val="32"/>
          <w:highlight w:val="none"/>
          <w:lang w:bidi="ar"/>
        </w:rPr>
        <w:t>落实《保障农村村民住宅建设合理用地的实施细则》，合理确定宅基地用地规模，为农房建设用地预留空间，满足农房建设合理用地需求。</w:t>
      </w:r>
      <w:r>
        <w:rPr>
          <w:rFonts w:hint="eastAsia" w:hAnsi="仿宋_GB2312" w:eastAsia="仿宋_GB2312" w:cs="仿宋_GB2312"/>
          <w:sz w:val="32"/>
          <w:szCs w:val="32"/>
          <w:highlight w:val="none"/>
          <w:lang w:val="zh-CN"/>
        </w:rPr>
        <w:t>积极引入规划师、建筑师、工程师等专业人才下乡参加志愿服务。</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909" w:name="_Toc9835"/>
      <w:bookmarkStart w:id="910" w:name="_Toc21781"/>
      <w:bookmarkStart w:id="911" w:name="_Toc28718"/>
      <w:bookmarkStart w:id="912" w:name="_Toc20604"/>
      <w:bookmarkStart w:id="913" w:name="_Toc4226"/>
      <w:bookmarkStart w:id="914" w:name="_Toc5828"/>
      <w:bookmarkStart w:id="915" w:name="_Toc4077"/>
      <w:bookmarkStart w:id="916" w:name="_Toc30510"/>
      <w:bookmarkStart w:id="917" w:name="_Toc23667"/>
      <w:bookmarkStart w:id="918" w:name="_Toc8131"/>
      <w:bookmarkStart w:id="919" w:name="_Toc11633"/>
      <w:bookmarkStart w:id="920" w:name="_Toc23189"/>
      <w:bookmarkStart w:id="921" w:name="_Toc2022"/>
      <w:bookmarkStart w:id="922" w:name="_Toc29989"/>
      <w:r>
        <w:rPr>
          <w:rFonts w:hint="eastAsia" w:ascii="黑体" w:hAnsi="黑体" w:eastAsia="黑体" w:cs="黑体"/>
          <w:b w:val="0"/>
          <w:bCs w:val="0"/>
          <w:highlight w:val="none"/>
        </w:rPr>
        <w:t>二、切实抓好农房管控</w:t>
      </w:r>
      <w:bookmarkEnd w:id="894"/>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spacing w:line="600" w:lineRule="exact"/>
        <w:ind w:firstLine="600"/>
        <w:rPr>
          <w:rFonts w:hint="eastAsia" w:hAnsi="仿宋_GB2312" w:eastAsia="仿宋_GB2312" w:cs="仿宋_GB2312"/>
          <w:sz w:val="32"/>
          <w:szCs w:val="32"/>
          <w:highlight w:val="none"/>
          <w:lang w:val="zh-CN"/>
        </w:rPr>
      </w:pPr>
      <w:r>
        <w:rPr>
          <w:rFonts w:hint="eastAsia" w:hAnsi="仿宋_GB2312" w:eastAsia="仿宋_GB2312" w:cs="仿宋_GB2312"/>
          <w:sz w:val="32"/>
          <w:szCs w:val="32"/>
          <w:highlight w:val="none"/>
          <w:lang w:val="zh-CN"/>
        </w:rPr>
        <w:t>严格落实‘一户一宅’等宅基地管理规定。规范农村宅基地建房审批，加强农村建房全程监管。严格落实农房管控和风貌提升负面清单管理制度，</w:t>
      </w:r>
      <w:r>
        <w:rPr>
          <w:rFonts w:hint="eastAsia" w:ascii="Times New Roman" w:hAnsi="仿宋_GB2312" w:eastAsia="仿宋_GB2312" w:cs="仿宋_GB2312"/>
          <w:sz w:val="32"/>
          <w:szCs w:val="32"/>
          <w:highlight w:val="none"/>
        </w:rPr>
        <w:t>推广农房风貌管控提升贷款</w:t>
      </w:r>
      <w:r>
        <w:rPr>
          <w:rFonts w:hint="eastAsia" w:hAnsi="仿宋_GB2312" w:eastAsia="仿宋_GB2312" w:cs="仿宋_GB2312"/>
          <w:sz w:val="32"/>
          <w:szCs w:val="32"/>
          <w:highlight w:val="none"/>
          <w:lang w:val="zh-CN"/>
        </w:rPr>
        <w:t>。开展农村乱占耕地建房专项整治，对农村新增违法违规建房现象“零容忍”。保护传统村落，不大拆大建、不拆真建假，不破坏地形地貌、不砍老树，不破坏传统风貌、不盖高楼。建立历史文化名镇、名村及传统村落保护制度，对传统村落的传统建筑、古路桥涵、古井古塘、古树名木等保护对象实行建档和挂牌保护。至2025年，宅基地“一户多宅”、农村违法建设基本解决，规范有序、管控有效的农村宅基地和农房建设管理新秩序全面建立。</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923" w:name="_Toc24262"/>
      <w:bookmarkStart w:id="924" w:name="_Toc1697"/>
      <w:bookmarkStart w:id="925" w:name="_Toc24848"/>
      <w:bookmarkStart w:id="926" w:name="_Toc14849"/>
      <w:bookmarkStart w:id="927" w:name="_Toc995"/>
      <w:bookmarkStart w:id="928" w:name="_Toc12359"/>
      <w:bookmarkStart w:id="929" w:name="_Toc32141"/>
      <w:bookmarkStart w:id="930" w:name="_Toc25740"/>
      <w:bookmarkStart w:id="931" w:name="_Toc7644"/>
      <w:bookmarkStart w:id="932" w:name="_Toc20439"/>
      <w:bookmarkStart w:id="933" w:name="_Toc20260"/>
      <w:bookmarkStart w:id="934" w:name="_Toc27272"/>
      <w:bookmarkStart w:id="935" w:name="_Toc2723"/>
      <w:bookmarkStart w:id="936" w:name="_Toc2200"/>
      <w:bookmarkStart w:id="937" w:name="_Toc12287"/>
      <w:r>
        <w:rPr>
          <w:rFonts w:hint="eastAsia" w:ascii="黑体" w:hAnsi="黑体" w:eastAsia="黑体" w:cs="黑体"/>
          <w:b w:val="0"/>
          <w:bCs w:val="0"/>
          <w:highlight w:val="none"/>
        </w:rPr>
        <w:t>三、着力提升乡村风貌</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7"/>
        <w:spacing w:after="0" w:afterLines="0" w:line="600" w:lineRule="exact"/>
        <w:ind w:firstLine="643" w:firstLineChars="200"/>
        <w:rPr>
          <w:rFonts w:hint="eastAsia" w:hAnsi="仿宋_GB2312" w:eastAsia="仿宋_GB2312" w:cs="仿宋_GB2312"/>
          <w:sz w:val="32"/>
          <w:szCs w:val="32"/>
          <w:highlight w:val="none"/>
        </w:rPr>
      </w:pPr>
      <w:r>
        <w:rPr>
          <w:rFonts w:hint="eastAsia" w:hAnsi="仿宋_GB2312" w:eastAsia="仿宋_GB2312" w:cs="仿宋_GB2312"/>
          <w:b/>
          <w:bCs/>
          <w:sz w:val="32"/>
          <w:szCs w:val="32"/>
          <w:highlight w:val="none"/>
          <w:lang w:val="zh-CN"/>
        </w:rPr>
        <w:t>打造乡村风貌示范村。</w:t>
      </w:r>
      <w:r>
        <w:rPr>
          <w:rFonts w:hint="eastAsia" w:hAnsi="仿宋_GB2312" w:eastAsia="仿宋_GB2312" w:cs="仿宋_GB2312"/>
          <w:sz w:val="32"/>
          <w:szCs w:val="32"/>
          <w:highlight w:val="none"/>
          <w:lang w:val="zh-CN"/>
        </w:rPr>
        <w:t>大力实施</w:t>
      </w:r>
      <w:r>
        <w:rPr>
          <w:rFonts w:hint="eastAsia" w:hAnsi="仿宋_GB2312" w:eastAsia="仿宋_GB2312" w:cs="仿宋_GB2312"/>
          <w:sz w:val="32"/>
          <w:szCs w:val="32"/>
          <w:highlight w:val="none"/>
        </w:rPr>
        <w:t>“</w:t>
      </w:r>
      <w:r>
        <w:rPr>
          <w:rFonts w:hint="eastAsia" w:hAnsi="仿宋_GB2312" w:eastAsia="仿宋_GB2312" w:cs="仿宋_GB2312"/>
          <w:sz w:val="32"/>
          <w:szCs w:val="32"/>
          <w:highlight w:val="none"/>
          <w:lang w:val="zh-CN"/>
        </w:rPr>
        <w:t>千村振兴计划</w:t>
      </w:r>
      <w:r>
        <w:rPr>
          <w:rFonts w:hint="eastAsia" w:hAnsi="仿宋_GB2312" w:eastAsia="仿宋_GB2312" w:cs="仿宋_GB2312"/>
          <w:sz w:val="32"/>
          <w:szCs w:val="32"/>
          <w:highlight w:val="none"/>
        </w:rPr>
        <w:t>”</w:t>
      </w:r>
      <w:r>
        <w:rPr>
          <w:rFonts w:hint="eastAsia" w:hAnsi="仿宋_GB2312" w:eastAsia="仿宋_GB2312" w:cs="仿宋_GB2312"/>
          <w:sz w:val="32"/>
          <w:szCs w:val="32"/>
          <w:highlight w:val="none"/>
          <w:lang w:val="zh-CN"/>
        </w:rPr>
        <w:t>，结合</w:t>
      </w:r>
      <w:r>
        <w:rPr>
          <w:rFonts w:hint="eastAsia" w:hAnsi="仿宋_GB2312" w:eastAsia="仿宋_GB2312" w:cs="仿宋_GB2312"/>
          <w:sz w:val="32"/>
          <w:szCs w:val="32"/>
          <w:highlight w:val="none"/>
        </w:rPr>
        <w:t>“</w:t>
      </w:r>
      <w:r>
        <w:rPr>
          <w:rFonts w:hint="eastAsia" w:hAnsi="仿宋_GB2312" w:eastAsia="仿宋_GB2312" w:cs="仿宋_GB2312"/>
          <w:sz w:val="32"/>
          <w:szCs w:val="32"/>
          <w:highlight w:val="none"/>
          <w:lang w:val="zh-CN"/>
        </w:rPr>
        <w:t>一村一品</w:t>
      </w:r>
      <w:r>
        <w:rPr>
          <w:rFonts w:hint="eastAsia" w:hAnsi="仿宋_GB2312" w:eastAsia="仿宋_GB2312" w:cs="仿宋_GB2312"/>
          <w:sz w:val="32"/>
          <w:szCs w:val="32"/>
          <w:highlight w:val="none"/>
        </w:rPr>
        <w:t>”</w:t>
      </w:r>
      <w:r>
        <w:rPr>
          <w:rFonts w:hint="eastAsia" w:hAnsi="仿宋_GB2312" w:eastAsia="仿宋_GB2312" w:cs="仿宋_GB2312"/>
          <w:sz w:val="32"/>
          <w:szCs w:val="32"/>
          <w:highlight w:val="none"/>
          <w:lang w:val="zh-CN"/>
        </w:rPr>
        <w:t>、美丽宜居村、党建引领乡村振兴示范点、乡村治理示范村、文明村、民主法治示范村（社区）、文化和旅游特色村等的建设，选择村庄基础较好、辐射力强、群众意愿高的村庄做示范点</w:t>
      </w:r>
      <w:r>
        <w:rPr>
          <w:rFonts w:hint="eastAsia" w:hAnsi="仿宋_GB2312" w:eastAsia="仿宋_GB2312" w:cs="仿宋_GB2312"/>
          <w:sz w:val="32"/>
          <w:szCs w:val="32"/>
          <w:highlight w:val="none"/>
        </w:rPr>
        <w:t>，</w:t>
      </w:r>
      <w:r>
        <w:rPr>
          <w:rFonts w:hint="eastAsia" w:hAnsi="仿宋_GB2312" w:eastAsia="仿宋_GB2312" w:cs="仿宋_GB2312"/>
          <w:sz w:val="32"/>
          <w:szCs w:val="32"/>
          <w:highlight w:val="none"/>
          <w:lang w:val="zh-CN"/>
        </w:rPr>
        <w:t>带动周边村庄自主开展乡村风貌提升。2021年起按照每镇</w:t>
      </w:r>
      <w:r>
        <w:rPr>
          <w:rFonts w:hint="eastAsia" w:hAnsi="仿宋_GB2312" w:eastAsia="仿宋_GB2312" w:cs="仿宋_GB2312"/>
          <w:sz w:val="32"/>
          <w:szCs w:val="32"/>
          <w:highlight w:val="none"/>
        </w:rPr>
        <w:t>（</w:t>
      </w:r>
      <w:r>
        <w:rPr>
          <w:rFonts w:hint="eastAsia" w:hAnsi="仿宋_GB2312" w:eastAsia="仿宋_GB2312" w:cs="仿宋_GB2312"/>
          <w:sz w:val="32"/>
          <w:szCs w:val="32"/>
          <w:highlight w:val="none"/>
          <w:lang w:val="zh-CN"/>
        </w:rPr>
        <w:t>涉农街道</w:t>
      </w:r>
      <w:r>
        <w:rPr>
          <w:rFonts w:hint="eastAsia" w:hAnsi="仿宋_GB2312" w:eastAsia="仿宋_GB2312" w:cs="仿宋_GB2312"/>
          <w:sz w:val="32"/>
          <w:szCs w:val="32"/>
          <w:highlight w:val="none"/>
        </w:rPr>
        <w:t>）</w:t>
      </w:r>
      <w:r>
        <w:rPr>
          <w:rFonts w:hint="eastAsia" w:hAnsi="仿宋_GB2312" w:eastAsia="仿宋_GB2312" w:cs="仿宋_GB2312"/>
          <w:sz w:val="32"/>
          <w:szCs w:val="32"/>
          <w:highlight w:val="none"/>
          <w:lang w:val="zh-CN"/>
        </w:rPr>
        <w:t>每年创建1条示范行政村。</w:t>
      </w:r>
    </w:p>
    <w:p>
      <w:pPr>
        <w:pStyle w:val="7"/>
        <w:spacing w:after="0" w:afterLines="0" w:line="600" w:lineRule="exact"/>
        <w:ind w:firstLine="640"/>
        <w:rPr>
          <w:rFonts w:hint="eastAsia" w:hAnsi="仿宋_GB2312" w:eastAsia="仿宋_GB2312" w:cs="仿宋_GB2312"/>
          <w:sz w:val="32"/>
          <w:szCs w:val="32"/>
          <w:highlight w:val="none"/>
        </w:rPr>
      </w:pPr>
      <w:r>
        <w:rPr>
          <w:rFonts w:hint="eastAsia" w:hAnsi="仿宋_GB2312" w:eastAsia="仿宋_GB2312" w:cs="仿宋_GB2312"/>
          <w:b/>
          <w:bCs/>
          <w:sz w:val="32"/>
          <w:szCs w:val="32"/>
          <w:highlight w:val="none"/>
          <w:lang w:val="zh-CN"/>
        </w:rPr>
        <w:t>打造乡村振兴示范样板墟（镇）。</w:t>
      </w:r>
      <w:r>
        <w:rPr>
          <w:rFonts w:hint="eastAsia" w:hAnsi="仿宋_GB2312" w:eastAsia="仿宋_GB2312" w:cs="仿宋_GB2312"/>
          <w:sz w:val="32"/>
          <w:szCs w:val="32"/>
          <w:highlight w:val="none"/>
        </w:rPr>
        <w:t>大力实施“百墟振兴计划”，结合“一镇一业”、省级文明镇、省级卫生镇、省级乡村治理示范镇、省级休闲农业与乡村旅游示范镇、省级森林小镇等的创建，各区（县级市、经济功能区）选择1-2个基础较好的镇，打造独具地方文化特色的乡村振兴示范样板墟（镇）。茂南区选点金塘镇，打造展现油城文化的“油城墟”；电白区选点南海街道，打造具“渔港风韵、渔村风情、鱼鲜风味、渔民风采”内涵的晏镜“疍家墟”；信宜市选点钱排镇，打造以三华李产业为特色的“窦州墟”；高州市选点曹江镇，打造彰显高凉冼太好心文化的“高凉墟”；化州市选点平定镇，打造以化橘红为主题的“橘州墟”。</w:t>
      </w:r>
    </w:p>
    <w:p>
      <w:pPr>
        <w:pStyle w:val="7"/>
        <w:spacing w:after="0" w:afterLines="0" w:line="600" w:lineRule="exact"/>
        <w:ind w:firstLine="643" w:firstLineChars="200"/>
        <w:rPr>
          <w:rFonts w:hint="eastAsia" w:hAnsi="仿宋_GB2312" w:eastAsia="仿宋_GB2312" w:cs="仿宋_GB2312"/>
          <w:sz w:val="32"/>
          <w:szCs w:val="32"/>
          <w:highlight w:val="none"/>
          <w:lang w:val="zh-CN"/>
        </w:rPr>
      </w:pPr>
      <w:r>
        <w:rPr>
          <w:rFonts w:hint="eastAsia" w:hAnsi="仿宋_GB2312" w:eastAsia="仿宋_GB2312" w:cs="仿宋_GB2312"/>
          <w:b/>
          <w:bCs/>
          <w:sz w:val="32"/>
          <w:szCs w:val="32"/>
          <w:highlight w:val="none"/>
          <w:lang w:val="zh-CN"/>
        </w:rPr>
        <w:t>打造乡村风貌示范带。</w:t>
      </w:r>
      <w:r>
        <w:rPr>
          <w:rFonts w:hint="eastAsia" w:hAnsi="仿宋_GB2312" w:eastAsia="仿宋_GB2312" w:cs="仿宋_GB2312"/>
          <w:sz w:val="32"/>
          <w:szCs w:val="32"/>
          <w:highlight w:val="none"/>
          <w:lang w:val="zh-CN"/>
        </w:rPr>
        <w:t>每条乡村风貌示范带，沿线连片完成存量农房微改造不少于3000户，长度不少于15公里。因地制宜建设美丽驿站和风景长廊。2021年重点打造8条镇级示范带，即茂南金塘镇、电白沙琅镇、信宜水口镇与镇隆镇、高州分界镇与根子镇、化州新安镇、滨海新区博贺镇乡村风貌示范带。2022年重点建设11条交通沿线示范带和12条高速公路出入口沿线示范带，即云茂高速等5条高速公路沿线示范带，深湛铁路等6条铁路沿线示范带，以及茂南羊角镇等12条市区高速公路出入口沿线镇街风貌提升。2023年基本完成“四沿”区域风貌提升工作。</w:t>
      </w:r>
    </w:p>
    <w:p>
      <w:pPr>
        <w:pStyle w:val="7"/>
        <w:spacing w:after="0" w:afterLines="0" w:line="600" w:lineRule="exact"/>
        <w:ind w:firstLine="643" w:firstLineChars="200"/>
        <w:rPr>
          <w:rFonts w:hint="eastAsia" w:hAnsi="仿宋_GB2312" w:eastAsia="仿宋_GB2312" w:cs="仿宋_GB2312"/>
          <w:sz w:val="32"/>
          <w:szCs w:val="32"/>
          <w:highlight w:val="none"/>
          <w:lang w:val="zh-CN"/>
        </w:rPr>
      </w:pPr>
      <w:r>
        <w:rPr>
          <w:rFonts w:hint="eastAsia" w:hAnsi="仿宋_GB2312" w:eastAsia="仿宋_GB2312" w:cs="仿宋_GB2312"/>
          <w:b/>
          <w:bCs/>
          <w:sz w:val="32"/>
          <w:szCs w:val="32"/>
          <w:highlight w:val="none"/>
          <w:lang w:val="zh-CN"/>
        </w:rPr>
        <w:t>打造乡村振兴示范片（群）。</w:t>
      </w:r>
      <w:r>
        <w:rPr>
          <w:rFonts w:hint="eastAsia" w:hAnsi="仿宋_GB2312" w:eastAsia="仿宋_GB2312" w:cs="仿宋_GB2312"/>
          <w:sz w:val="32"/>
          <w:szCs w:val="32"/>
          <w:highlight w:val="none"/>
          <w:lang w:val="zh-CN"/>
        </w:rPr>
        <w:t>聚焦城乡融合发展，建设“一湖一湾一港一城一区一带”示范片（群）。“一湖”指好心湖，依托露天矿生态公园和“好心湖畔”田园综合体建设，做好废弃工业遗产、特色精品农业、高端酒店服务、文体旅节庆赛事活动文章，带动周边镇村联动发展，打造独具茂名特色的工农文体商旅综合体。“一湾”指水东湾，以生态修复为抓手，加快南海旅游岛建设，盘活</w:t>
      </w:r>
      <w:r>
        <w:rPr>
          <w:rFonts w:hint="eastAsia" w:hAnsi="仿宋_GB2312" w:eastAsia="仿宋_GB2312" w:cs="仿宋_GB2312"/>
          <w:sz w:val="32"/>
          <w:szCs w:val="32"/>
          <w:highlight w:val="none"/>
        </w:rPr>
        <w:t>疍</w:t>
      </w:r>
      <w:r>
        <w:rPr>
          <w:rFonts w:hint="eastAsia" w:hAnsi="仿宋_GB2312" w:eastAsia="仿宋_GB2312" w:cs="仿宋_GB2312"/>
          <w:sz w:val="32"/>
          <w:szCs w:val="32"/>
          <w:highlight w:val="none"/>
          <w:lang w:val="zh-CN"/>
        </w:rPr>
        <w:t>家渔村文化，营造海雾渔火意境，打造具有文化内涵和时代特征、富有滨海风情和个性魅力的滨海内湾。“一港”指博贺港，围绕“大汉古港、现代渔业”功能定位，打造一二三产业高度融合、文化旅游渔业相协调的现代化多功能美丽渔港。“一城”指共青河新城，结合七迳镇城乡融合发展省级</w:t>
      </w:r>
      <w:r>
        <w:rPr>
          <w:rFonts w:hint="eastAsia" w:hAnsi="仿宋_GB2312" w:eastAsia="仿宋_GB2312" w:cs="仿宋_GB2312"/>
          <w:sz w:val="32"/>
          <w:szCs w:val="32"/>
          <w:highlight w:val="none"/>
        </w:rPr>
        <w:t>试</w:t>
      </w:r>
      <w:r>
        <w:rPr>
          <w:rFonts w:hint="eastAsia" w:hAnsi="仿宋_GB2312" w:eastAsia="仿宋_GB2312" w:cs="仿宋_GB2312"/>
          <w:sz w:val="32"/>
          <w:szCs w:val="32"/>
          <w:highlight w:val="none"/>
          <w:lang w:val="zh-CN"/>
        </w:rPr>
        <w:t>点，</w:t>
      </w:r>
      <w:r>
        <w:rPr>
          <w:rFonts w:hint="eastAsia" w:hAnsi="仿宋_GB2312" w:eastAsia="仿宋_GB2312" w:cs="仿宋_GB2312"/>
          <w:sz w:val="32"/>
          <w:szCs w:val="32"/>
          <w:highlight w:val="none"/>
        </w:rPr>
        <w:t>打造新型城镇化与乡村振兴协调发展的高品质活力新城</w:t>
      </w:r>
      <w:r>
        <w:rPr>
          <w:rFonts w:hint="eastAsia" w:hAnsi="仿宋_GB2312" w:eastAsia="仿宋_GB2312" w:cs="仿宋_GB2312"/>
          <w:sz w:val="32"/>
          <w:szCs w:val="32"/>
          <w:highlight w:val="none"/>
          <w:lang w:val="zh-CN"/>
        </w:rPr>
        <w:t>。“一区”指临空经济区</w:t>
      </w:r>
      <w:r>
        <w:rPr>
          <w:rStyle w:val="16"/>
          <w:rFonts w:hint="eastAsia" w:hAnsi="仿宋_GB2312" w:eastAsia="仿宋_GB2312" w:cs="仿宋_GB2312"/>
          <w:sz w:val="32"/>
          <w:szCs w:val="32"/>
          <w:highlight w:val="none"/>
          <w:lang w:val="zh-CN"/>
        </w:rPr>
        <w:footnoteReference w:id="8"/>
      </w:r>
      <w:r>
        <w:rPr>
          <w:rFonts w:hint="eastAsia" w:hAnsi="仿宋_GB2312" w:eastAsia="仿宋_GB2312" w:cs="仿宋_GB2312"/>
          <w:sz w:val="32"/>
          <w:szCs w:val="32"/>
          <w:highlight w:val="none"/>
          <w:lang w:val="zh-CN"/>
        </w:rPr>
        <w:t>，围绕提供航空服务“定制”规划周边乡村产业发展，因地制宜融入文化、美食和航空等元素，打造集特色旅游、主题酒店、创意民宿、文化体验、娱乐购物等于一体的航空创意园。“一带”指乡村振兴示范带，以“精彩100里”为主体，通过沿线农村环境风貌整治、田园综合体、碧道建设以及配套工程，打造若干条特色鲜明、业态丰富、亮点突出的乡村振兴示范带；以广东滨海旅游公路茂名段建设为纽带，美化提升沿线村庄，推动茂名滨海景观资源串珠成链，构建内湾运河景观带和外海度假景观带，打造“滨海乡村示范带”。</w:t>
      </w:r>
    </w:p>
    <w:tbl>
      <w:tblPr>
        <w:tblStyle w:val="14"/>
        <w:tblW w:w="0" w:type="auto"/>
        <w:jc w:val="center"/>
        <w:shd w:val="clear" w:color="auto" w:fill="FFFFFF"/>
        <w:tblLayout w:type="fixed"/>
        <w:tblCellMar>
          <w:top w:w="0" w:type="dxa"/>
          <w:left w:w="108" w:type="dxa"/>
          <w:bottom w:w="0" w:type="dxa"/>
          <w:right w:w="108" w:type="dxa"/>
        </w:tblCellMar>
      </w:tblPr>
      <w:tblGrid>
        <w:gridCol w:w="8300"/>
      </w:tblGrid>
      <w:tr>
        <w:tblPrEx>
          <w:shd w:val="clear" w:color="auto" w:fill="FFFFFF"/>
          <w:tblCellMar>
            <w:top w:w="0" w:type="dxa"/>
            <w:left w:w="108" w:type="dxa"/>
            <w:bottom w:w="0" w:type="dxa"/>
            <w:right w:w="108" w:type="dxa"/>
          </w:tblCellMar>
        </w:tblPrEx>
        <w:trPr>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utoSpaceDE w:val="0"/>
              <w:spacing w:before="156" w:beforeLines="50" w:after="156" w:afterLines="50" w:line="360" w:lineRule="exact"/>
              <w:ind w:firstLine="480" w:firstLineChars="200"/>
              <w:jc w:val="center"/>
              <w:rPr>
                <w:rFonts w:ascii="Times New Roman" w:hAnsi="Times New Roman" w:eastAsia="仿宋"/>
                <w:b/>
                <w:bCs/>
                <w:sz w:val="28"/>
                <w:szCs w:val="28"/>
                <w:highlight w:val="none"/>
              </w:rPr>
            </w:pPr>
            <w:r>
              <w:rPr>
                <w:rFonts w:hint="eastAsia" w:ascii="黑体" w:hAnsi="黑体" w:eastAsia="黑体" w:cs="黑体"/>
                <w:b w:val="0"/>
                <w:bCs w:val="0"/>
                <w:kern w:val="0"/>
                <w:sz w:val="24"/>
                <w:szCs w:val="20"/>
                <w:highlight w:val="none"/>
              </w:rPr>
              <w:t>专栏四  乡村风貌提升行动</w:t>
            </w:r>
          </w:p>
        </w:tc>
      </w:tr>
      <w:tr>
        <w:tblPrEx>
          <w:shd w:val="clear" w:color="auto" w:fill="FFFFFF"/>
          <w:tblCellMar>
            <w:top w:w="0" w:type="dxa"/>
            <w:left w:w="108" w:type="dxa"/>
            <w:bottom w:w="0" w:type="dxa"/>
            <w:right w:w="108" w:type="dxa"/>
          </w:tblCellMar>
        </w:tblPrEx>
        <w:trPr>
          <w:trHeight w:val="543" w:hRule="atLeast"/>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17"/>
              <w:spacing w:line="360" w:lineRule="auto"/>
              <w:ind w:firstLine="482"/>
              <w:rPr>
                <w:rFonts w:ascii="仿宋" w:hAnsi="仿宋" w:eastAsia="仿宋" w:cs="仿宋"/>
                <w:b/>
                <w:bCs/>
                <w:sz w:val="24"/>
                <w:highlight w:val="none"/>
              </w:rPr>
            </w:pPr>
            <w:r>
              <w:rPr>
                <w:rFonts w:hint="eastAsia" w:ascii="仿宋" w:hAnsi="仿宋" w:eastAsia="仿宋" w:cs="仿宋"/>
                <w:b/>
                <w:bCs/>
                <w:sz w:val="24"/>
                <w:highlight w:val="none"/>
              </w:rPr>
              <w:t>乡村风貌示范建设工程</w:t>
            </w:r>
          </w:p>
          <w:p>
            <w:pPr>
              <w:pStyle w:val="17"/>
              <w:spacing w:line="360" w:lineRule="auto"/>
              <w:ind w:firstLine="480"/>
              <w:rPr>
                <w:rFonts w:ascii="仿宋" w:hAnsi="仿宋" w:eastAsia="仿宋" w:cs="仿宋"/>
                <w:sz w:val="24"/>
                <w:highlight w:val="none"/>
                <w:lang w:val="zh-CN"/>
              </w:rPr>
            </w:pPr>
            <w:r>
              <w:rPr>
                <w:rFonts w:hint="eastAsia" w:ascii="仿宋_GB2312" w:hAnsi="仿宋_GB2312" w:eastAsia="仿宋_GB2312" w:cs="仿宋_GB2312"/>
                <w:sz w:val="24"/>
                <w:highlight w:val="none"/>
                <w:lang w:val="zh-CN"/>
              </w:rPr>
              <w:t>大力实施“千村振兴计划”，2021年起按照每镇（涉农街道）每年创建1条示范行政村。大力实施“百墟振兴计划”，各区（县级市、经济功能区）选择1-2个基础较好的镇，打造独具地方文化特色的乡村振兴示范样板墟（镇），茂南区选点金塘镇打造展现油城文化的“油城墟”，电白区选点南海街道打造具“渔港风韵、渔村风情、鱼鲜风味、渔民风采”内涵的晏镜“疍家墟”，信宜市选点钱排镇打造以三华李产业为特色的“窦州墟”，高州市选点曹江镇打造彰显高凉冼太好心文化的“高凉墟”，化州市选点平定镇打造以化橘红为主题的“橘州墟”。2021年重点打造8条镇级示范带，即茂南金塘镇、电白沙琅镇、信宜水口镇与镇隆镇、高州分界镇与根子镇、化州新安镇、滨海新区博贺镇乡村风貌示范带。2022年重点建设11条交通沿线示范带和12条高速公路出入口沿线示范带，即云茂高速等5条高速公路沿线示范带，深湛铁路等6条铁路沿线示范带，以及茂南羊角镇等12条市区高速公路出入口沿线镇街风貌提升。2023年基本完成“四沿”区域风貌提升工作。聚焦城乡融合发展，建设“一湖一湾一港一城一区一带”示范片（群）。</w:t>
            </w:r>
          </w:p>
        </w:tc>
      </w:tr>
    </w:tbl>
    <w:p>
      <w:pPr>
        <w:pStyle w:val="7"/>
        <w:ind w:firstLine="0" w:firstLineChars="0"/>
        <w:rPr>
          <w:rFonts w:eastAsia="方正仿宋_GB2312"/>
          <w:kern w:val="0"/>
          <w:sz w:val="32"/>
          <w:szCs w:val="2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938" w:name="_Toc9483"/>
      <w:bookmarkStart w:id="939" w:name="_Toc20734"/>
      <w:bookmarkStart w:id="940" w:name="_Toc9160"/>
      <w:bookmarkStart w:id="941" w:name="_Toc19814"/>
      <w:bookmarkStart w:id="942" w:name="_Toc12085"/>
      <w:bookmarkStart w:id="943" w:name="_Toc26333"/>
      <w:bookmarkStart w:id="944" w:name="_Toc26843"/>
      <w:bookmarkStart w:id="945" w:name="_Toc23395"/>
      <w:bookmarkStart w:id="946" w:name="_Toc21923"/>
      <w:bookmarkStart w:id="947" w:name="_Toc16326"/>
      <w:bookmarkStart w:id="948" w:name="_Toc28338"/>
      <w:bookmarkStart w:id="949" w:name="_Toc24960"/>
      <w:bookmarkStart w:id="950" w:name="_Toc7290"/>
      <w:bookmarkStart w:id="951" w:name="_Toc30706"/>
      <w:bookmarkStart w:id="952" w:name="_Toc10410"/>
      <w:r>
        <w:rPr>
          <w:rFonts w:ascii="Times New Roman" w:hAnsi="Times New Roman" w:eastAsia="黑体"/>
          <w:b w:val="0"/>
          <w:bCs w:val="0"/>
          <w:sz w:val="32"/>
          <w:highlight w:val="none"/>
        </w:rPr>
        <w:t>第二节  实施农村人居环境整治提升五年行动</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spacing w:line="600" w:lineRule="exact"/>
        <w:ind w:firstLine="600"/>
        <w:rPr>
          <w:rFonts w:hint="eastAsia" w:hAnsi="仿宋_GB2312" w:eastAsia="仿宋_GB2312" w:cs="仿宋_GB2312"/>
          <w:sz w:val="32"/>
          <w:szCs w:val="32"/>
          <w:highlight w:val="none"/>
        </w:rPr>
      </w:pPr>
      <w:bookmarkStart w:id="953" w:name="_Toc2239"/>
      <w:r>
        <w:rPr>
          <w:rFonts w:hint="eastAsia" w:hAnsi="仿宋_GB2312" w:eastAsia="仿宋_GB2312" w:cs="仿宋_GB2312"/>
          <w:sz w:val="32"/>
          <w:szCs w:val="32"/>
          <w:highlight w:val="none"/>
        </w:rPr>
        <w:t>巩固整治成果，推动提标扩面，健全长效机制，突出抓好厕所改造、生活垃圾和生活污水处</w:t>
      </w:r>
      <w:r>
        <w:rPr>
          <w:rFonts w:hint="eastAsia" w:ascii="仿宋_GB2312" w:hAnsi="仿宋_GB2312" w:eastAsia="仿宋_GB2312" w:cs="仿宋_GB2312"/>
          <w:kern w:val="0"/>
          <w:sz w:val="32"/>
          <w:szCs w:val="22"/>
          <w:highlight w:val="none"/>
        </w:rPr>
        <w:t>理“三个重点”，分</w:t>
      </w:r>
      <w:r>
        <w:rPr>
          <w:rFonts w:hint="eastAsia" w:hAnsi="仿宋_GB2312" w:eastAsia="仿宋_GB2312" w:cs="仿宋_GB2312"/>
          <w:sz w:val="32"/>
          <w:szCs w:val="32"/>
          <w:highlight w:val="none"/>
        </w:rPr>
        <w:t>类分区域推动农村人居环境提质建设，促进村庄清洁常态化、持续化。</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954" w:name="_Toc28393"/>
      <w:bookmarkStart w:id="955" w:name="_Toc13545"/>
      <w:bookmarkStart w:id="956" w:name="_Toc15071"/>
      <w:bookmarkStart w:id="957" w:name="_Toc17232"/>
      <w:bookmarkStart w:id="958" w:name="_Toc21264"/>
      <w:bookmarkStart w:id="959" w:name="_Toc16327"/>
      <w:bookmarkStart w:id="960" w:name="_Toc29421"/>
      <w:bookmarkStart w:id="961" w:name="_Toc3581"/>
      <w:bookmarkStart w:id="962" w:name="_Toc12964"/>
      <w:bookmarkStart w:id="963" w:name="_Toc10680"/>
      <w:bookmarkStart w:id="964" w:name="_Toc31350"/>
      <w:bookmarkStart w:id="965" w:name="_Toc10523"/>
      <w:bookmarkStart w:id="966" w:name="_Toc21818"/>
      <w:bookmarkStart w:id="967" w:name="_Toc7126"/>
      <w:r>
        <w:rPr>
          <w:rFonts w:hint="eastAsia" w:ascii="黑体" w:hAnsi="黑体" w:eastAsia="黑体" w:cs="黑体"/>
          <w:b w:val="0"/>
          <w:bCs w:val="0"/>
          <w:highlight w:val="none"/>
        </w:rPr>
        <w:t>一、</w:t>
      </w:r>
      <w:bookmarkEnd w:id="953"/>
      <w:bookmarkEnd w:id="954"/>
      <w:bookmarkEnd w:id="955"/>
      <w:bookmarkEnd w:id="956"/>
      <w:bookmarkEnd w:id="957"/>
      <w:bookmarkEnd w:id="958"/>
      <w:bookmarkEnd w:id="959"/>
      <w:bookmarkEnd w:id="960"/>
      <w:bookmarkStart w:id="968" w:name="_Toc2409"/>
      <w:r>
        <w:rPr>
          <w:rFonts w:hint="eastAsia" w:ascii="黑体" w:hAnsi="黑体" w:eastAsia="黑体" w:cs="黑体"/>
          <w:b w:val="0"/>
          <w:bCs w:val="0"/>
          <w:highlight w:val="none"/>
        </w:rPr>
        <w:t>实施村容村貌整治提升行动</w:t>
      </w:r>
      <w:bookmarkEnd w:id="961"/>
      <w:bookmarkEnd w:id="962"/>
      <w:bookmarkEnd w:id="963"/>
      <w:bookmarkEnd w:id="964"/>
      <w:bookmarkEnd w:id="965"/>
      <w:bookmarkEnd w:id="966"/>
      <w:bookmarkEnd w:id="967"/>
      <w:bookmarkEnd w:id="968"/>
    </w:p>
    <w:p>
      <w:pPr>
        <w:spacing w:line="600" w:lineRule="exact"/>
        <w:ind w:firstLine="640" w:firstLineChars="200"/>
        <w:rPr>
          <w:rFonts w:hint="eastAsia" w:hAnsi="仿宋_GB2312" w:eastAsia="仿宋_GB2312" w:cs="仿宋_GB2312"/>
          <w:sz w:val="32"/>
          <w:szCs w:val="32"/>
          <w:highlight w:val="none"/>
          <w:lang w:val="zh-CN"/>
        </w:rPr>
      </w:pPr>
      <w:r>
        <w:rPr>
          <w:rFonts w:hint="eastAsia" w:hAnsi="仿宋_GB2312" w:eastAsia="仿宋_GB2312" w:cs="仿宋_GB2312"/>
          <w:sz w:val="32"/>
          <w:szCs w:val="32"/>
          <w:highlight w:val="none"/>
        </w:rPr>
        <w:t>全面开展村庄“三清理、三拆除、三整治”回头看，建立健全长效保洁机制，推动村庄一时美向时时美转变。深入推进“四小园”建设，开展寻找十大“最美庭院”活动，打造“四美四化”庭院，推动庭院洁化、序化、绿化、美化，实现人文美、门庭美、居室美、厨厕美。启动实施农垦、国有农场、国有林场人居环境综合整治工作。2021年全市100%村庄达到干净整洁标准，每个镇至少创建1个美丽宜居示范村；2023年全市68%村庄达到美丽宜居标准。</w:t>
      </w:r>
      <w:r>
        <w:rPr>
          <w:rFonts w:hint="eastAsia" w:hAnsi="仿宋_GB2312" w:eastAsia="仿宋_GB2312" w:cs="仿宋_GB2312"/>
          <w:sz w:val="32"/>
          <w:szCs w:val="32"/>
          <w:highlight w:val="none"/>
          <w:lang w:val="zh-CN"/>
        </w:rPr>
        <w:t>2025年底前，80%以上行政村达到美丽宜居村标准。</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969" w:name="_Toc23108"/>
      <w:bookmarkStart w:id="970" w:name="_Toc19334"/>
      <w:bookmarkStart w:id="971" w:name="_Toc28039"/>
      <w:bookmarkStart w:id="972" w:name="_Toc252"/>
      <w:bookmarkStart w:id="973" w:name="_Toc20472"/>
      <w:bookmarkStart w:id="974" w:name="_Toc1975"/>
      <w:bookmarkStart w:id="975" w:name="_Toc28376"/>
      <w:bookmarkStart w:id="976" w:name="_Toc30063"/>
      <w:bookmarkStart w:id="977" w:name="_Toc18770"/>
      <w:bookmarkStart w:id="978" w:name="_Toc15129"/>
      <w:bookmarkStart w:id="979" w:name="_Toc32666"/>
      <w:bookmarkStart w:id="980" w:name="_Toc8166"/>
      <w:bookmarkStart w:id="981" w:name="_Toc9316"/>
      <w:bookmarkStart w:id="982" w:name="_Toc23374"/>
      <w:bookmarkStart w:id="983" w:name="_Toc26960"/>
      <w:r>
        <w:rPr>
          <w:rFonts w:hint="eastAsia" w:ascii="黑体" w:hAnsi="黑体" w:eastAsia="黑体" w:cs="黑体"/>
          <w:b w:val="0"/>
          <w:bCs w:val="0"/>
          <w:highlight w:val="none"/>
        </w:rPr>
        <w:t>二、实施农村厕所革命行动</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spacing w:line="600" w:lineRule="exact"/>
        <w:ind w:firstLine="640" w:firstLineChars="200"/>
        <w:rPr>
          <w:rFonts w:hint="eastAsia" w:hAnsi="仿宋_GB2312" w:eastAsia="仿宋_GB2312" w:cs="仿宋_GB2312"/>
          <w:kern w:val="0"/>
          <w:sz w:val="32"/>
          <w:szCs w:val="32"/>
          <w:highlight w:val="none"/>
        </w:rPr>
      </w:pPr>
      <w:r>
        <w:rPr>
          <w:rFonts w:hint="eastAsia" w:hAnsi="仿宋_GB2312" w:eastAsia="仿宋_GB2312" w:cs="仿宋_GB2312"/>
          <w:kern w:val="0"/>
          <w:sz w:val="32"/>
          <w:szCs w:val="32"/>
          <w:highlight w:val="none"/>
        </w:rPr>
        <w:t>统筹建设农村厕所粪污和生活污水处理设施，支持具备条件的地区同步设计、同步建设、同步运营，建立健全长效管护机制。以“厕所革命”进农村、进农户、进农村学校、进景区为抓手，深入推进厕所革命。推动农村公厕建设标准化、管理规范化、运维市场化、监督社会化。加大宣传引导力度，确保农村厕所建（改）得好、用得好、管护得好。提高乡村旅游区等公共卫生厕所覆盖率。到2022年，确保农村学校厕所按照日常在校生人数蹲位充足，在4A级景区普及无障碍厕所；2023年全市3A级以上旅游景区、农业公园等景区（园区）内厕所全部达到A级标准。到2025年，乡村4A级以上景区至少有2座厕所达到2A级标准。</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984" w:name="_Toc24234"/>
      <w:bookmarkStart w:id="985" w:name="_Toc22615"/>
      <w:bookmarkStart w:id="986" w:name="_Toc1666"/>
      <w:bookmarkStart w:id="987" w:name="_Toc14656"/>
      <w:bookmarkStart w:id="988" w:name="_Toc13801"/>
      <w:bookmarkStart w:id="989" w:name="_Toc11269"/>
      <w:bookmarkStart w:id="990" w:name="_Toc18849"/>
      <w:bookmarkStart w:id="991" w:name="_Toc1220"/>
      <w:bookmarkStart w:id="992" w:name="_Toc15909"/>
      <w:bookmarkStart w:id="993" w:name="_Toc25064"/>
      <w:bookmarkStart w:id="994" w:name="_Toc9336"/>
      <w:bookmarkStart w:id="995" w:name="_Toc21605"/>
      <w:bookmarkStart w:id="996" w:name="_Toc15455"/>
      <w:bookmarkStart w:id="997" w:name="_Toc31114"/>
      <w:bookmarkStart w:id="998" w:name="_Toc20942"/>
      <w:r>
        <w:rPr>
          <w:rFonts w:hint="eastAsia" w:ascii="黑体" w:hAnsi="黑体" w:eastAsia="黑体" w:cs="黑体"/>
          <w:b w:val="0"/>
          <w:bCs w:val="0"/>
          <w:highlight w:val="none"/>
        </w:rPr>
        <w:t>三、</w:t>
      </w:r>
      <w:bookmarkEnd w:id="984"/>
      <w:bookmarkEnd w:id="985"/>
      <w:bookmarkEnd w:id="986"/>
      <w:bookmarkEnd w:id="987"/>
      <w:bookmarkEnd w:id="988"/>
      <w:bookmarkEnd w:id="989"/>
      <w:bookmarkEnd w:id="990"/>
      <w:bookmarkEnd w:id="991"/>
      <w:bookmarkStart w:id="999" w:name="_Toc9460"/>
      <w:r>
        <w:rPr>
          <w:rFonts w:hint="eastAsia" w:ascii="黑体" w:hAnsi="黑体" w:eastAsia="黑体" w:cs="黑体"/>
          <w:b w:val="0"/>
          <w:bCs w:val="0"/>
          <w:highlight w:val="none"/>
        </w:rPr>
        <w:t>实施农村生活垃圾治理行动</w:t>
      </w:r>
      <w:bookmarkEnd w:id="992"/>
      <w:bookmarkEnd w:id="993"/>
      <w:bookmarkEnd w:id="994"/>
      <w:bookmarkEnd w:id="995"/>
      <w:bookmarkEnd w:id="996"/>
      <w:bookmarkEnd w:id="997"/>
      <w:bookmarkEnd w:id="998"/>
      <w:bookmarkEnd w:id="999"/>
    </w:p>
    <w:p>
      <w:pPr>
        <w:spacing w:line="600" w:lineRule="exact"/>
        <w:ind w:firstLine="640" w:firstLineChars="200"/>
        <w:rPr>
          <w:rFonts w:hint="eastAsia" w:hAnsi="仿宋_GB2312" w:eastAsia="仿宋_GB2312" w:cs="仿宋_GB2312"/>
          <w:kern w:val="0"/>
          <w:sz w:val="32"/>
          <w:szCs w:val="32"/>
          <w:highlight w:val="none"/>
        </w:rPr>
      </w:pPr>
      <w:r>
        <w:rPr>
          <w:rFonts w:hint="eastAsia" w:hAnsi="仿宋_GB2312" w:eastAsia="仿宋_GB2312" w:cs="仿宋_GB2312"/>
          <w:kern w:val="0"/>
          <w:sz w:val="32"/>
          <w:szCs w:val="32"/>
          <w:highlight w:val="none"/>
        </w:rPr>
        <w:t>完善农村垃圾处理“户分类、村收集、镇转运、县处理”的长效工作机制。压实责任，推动村民、村委会、镇政府共建卫生村、卫生镇。建立健全门前“三包”责任制，村民负责房前屋后卫生保洁和房屋周边“洁化、绿化、美化”工作；村委会负责村内道路、公园、文化场所等公共服务区域卫生保洁和村垃圾收集工作；镇政府负责镇村生活垃圾转运和镇所属公共服务区域卫生保洁，及时升级改造垃圾转运站、优化升级村庄收集点设施和普及密闭运输车辆等。全面推行农村生活垃圾分类，镇村上下联动，引导农户从源头实施生活垃圾分类减量，妥善处置厨余垃圾。鼓励建设集中式沤粪池，将厨余垃圾进行堆沤处理，制作有机肥还田。在有条件的地方试行村内保洁、垃圾收集、转运、处理市场化运作。到2025年，农村生活垃圾收运处置体系稳定运行，有条件的村庄实现生活垃圾分类源头减量。</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000" w:name="_Toc12383"/>
      <w:bookmarkStart w:id="1001" w:name="_Toc22264"/>
      <w:bookmarkStart w:id="1002" w:name="_Toc15756"/>
      <w:bookmarkStart w:id="1003" w:name="_Toc25519"/>
      <w:bookmarkStart w:id="1004" w:name="_Toc13712"/>
      <w:bookmarkStart w:id="1005" w:name="_Toc2761"/>
      <w:bookmarkStart w:id="1006" w:name="_Toc21758"/>
      <w:bookmarkStart w:id="1007" w:name="_Toc17905"/>
      <w:bookmarkStart w:id="1008" w:name="_Toc14749"/>
      <w:bookmarkStart w:id="1009" w:name="_Toc32277"/>
      <w:bookmarkStart w:id="1010" w:name="_Toc434"/>
      <w:bookmarkStart w:id="1011" w:name="_Toc23236"/>
      <w:bookmarkStart w:id="1012" w:name="_Toc28423"/>
      <w:bookmarkStart w:id="1013" w:name="_Toc28757"/>
      <w:bookmarkStart w:id="1014" w:name="_Toc25340"/>
      <w:r>
        <w:rPr>
          <w:rFonts w:hint="eastAsia" w:ascii="黑体" w:hAnsi="黑体" w:eastAsia="黑体" w:cs="黑体"/>
          <w:b w:val="0"/>
          <w:bCs w:val="0"/>
          <w:highlight w:val="none"/>
        </w:rPr>
        <w:t>四、实施农村生活污水治理攻坚行动</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pPr>
        <w:spacing w:line="600" w:lineRule="exact"/>
        <w:ind w:firstLine="640" w:firstLineChars="200"/>
        <w:rPr>
          <w:rFonts w:hint="eastAsia" w:ascii="Times New Roman" w:hAnsi="仿宋_GB2312" w:cs="仿宋_GB2312"/>
          <w:highlight w:val="none"/>
          <w:lang w:val="zh-CN"/>
        </w:rPr>
      </w:pPr>
      <w:r>
        <w:rPr>
          <w:rFonts w:hint="eastAsia" w:hAnsi="仿宋_GB2312" w:eastAsia="仿宋_GB2312" w:cs="仿宋_GB2312"/>
          <w:kern w:val="0"/>
          <w:sz w:val="32"/>
          <w:szCs w:val="32"/>
          <w:highlight w:val="none"/>
        </w:rPr>
        <w:t>统筹农村生活污水、黑臭水体治理，因地制宜、注重实效加快推进农村生活污水治理和生活污水资源化利用，提高农村生活污水收集率、治理率和资源利用率。2021年，高质量完成纳入民生实事的60条自然村生活污水治理和资源化利用；在茂南区羊角镇、电白区旦场镇、信宜市东镇街道、高州市分界镇、化州市新安镇、滨海新区博贺镇和电城镇、高新区七迳镇创建农村、城镇生活污水治理和资源化利用示范镇样板；2022年全市农村生活污水治理率达到40%以上；2025年，全市农村生活污水治理率达到70%以上。</w:t>
      </w:r>
    </w:p>
    <w:p>
      <w:pPr>
        <w:pStyle w:val="17"/>
        <w:ind w:firstLine="640"/>
        <w:rPr>
          <w:rFonts w:ascii="Times New Roman" w:hAnsi="Times New Roman" w:cs="Times New Roman"/>
          <w:highlight w:val="none"/>
          <w:lang w:val="zh-CN"/>
        </w:rPr>
      </w:pPr>
    </w:p>
    <w:tbl>
      <w:tblPr>
        <w:tblStyle w:val="14"/>
        <w:tblW w:w="0" w:type="auto"/>
        <w:jc w:val="center"/>
        <w:shd w:val="clear" w:color="auto" w:fill="FFFFFF"/>
        <w:tblLayout w:type="fixed"/>
        <w:tblCellMar>
          <w:top w:w="0" w:type="dxa"/>
          <w:left w:w="108" w:type="dxa"/>
          <w:bottom w:w="0" w:type="dxa"/>
          <w:right w:w="108" w:type="dxa"/>
        </w:tblCellMar>
      </w:tblPr>
      <w:tblGrid>
        <w:gridCol w:w="8300"/>
      </w:tblGrid>
      <w:tr>
        <w:tblPrEx>
          <w:tblCellMar>
            <w:top w:w="0" w:type="dxa"/>
            <w:left w:w="108" w:type="dxa"/>
            <w:bottom w:w="0" w:type="dxa"/>
            <w:right w:w="108" w:type="dxa"/>
          </w:tblCellMar>
        </w:tblPrEx>
        <w:trPr>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utoSpaceDE w:val="0"/>
              <w:spacing w:before="156" w:beforeLines="50" w:after="156" w:afterLines="50" w:line="360" w:lineRule="exact"/>
              <w:ind w:firstLine="480" w:firstLineChars="200"/>
              <w:jc w:val="center"/>
              <w:rPr>
                <w:rFonts w:ascii="Times New Roman" w:hAnsi="Times New Roman" w:eastAsia="仿宋"/>
                <w:b/>
                <w:bCs/>
                <w:sz w:val="28"/>
                <w:szCs w:val="28"/>
                <w:highlight w:val="none"/>
              </w:rPr>
            </w:pPr>
            <w:r>
              <w:rPr>
                <w:rFonts w:hint="eastAsia" w:ascii="黑体" w:hAnsi="黑体" w:eastAsia="黑体" w:cs="黑体"/>
                <w:b w:val="0"/>
                <w:bCs w:val="0"/>
                <w:kern w:val="0"/>
                <w:sz w:val="24"/>
                <w:szCs w:val="20"/>
                <w:highlight w:val="none"/>
              </w:rPr>
              <w:t>专栏五  农村人居环境提升行动</w:t>
            </w:r>
          </w:p>
        </w:tc>
      </w:tr>
      <w:tr>
        <w:tblPrEx>
          <w:shd w:val="clear" w:color="auto" w:fill="FFFFFF"/>
          <w:tblCellMar>
            <w:top w:w="0" w:type="dxa"/>
            <w:left w:w="108" w:type="dxa"/>
            <w:bottom w:w="0" w:type="dxa"/>
            <w:right w:w="108" w:type="dxa"/>
          </w:tblCellMar>
        </w:tblPrEx>
        <w:trPr>
          <w:trHeight w:val="543" w:hRule="atLeast"/>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ind w:firstLine="482"/>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（一）实施村容村貌整治提升行动</w:t>
            </w:r>
          </w:p>
          <w:p>
            <w:pPr>
              <w:spacing w:line="360" w:lineRule="auto"/>
              <w:ind w:firstLine="480" w:firstLineChars="200"/>
              <w:rPr>
                <w:rFonts w:hint="eastAsia" w:ascii="仿宋_GB2312" w:hAnsi="仿宋_GB2312" w:eastAsia="仿宋_GB2312" w:cs="仿宋_GB2312"/>
                <w:sz w:val="24"/>
                <w:highlight w:val="none"/>
                <w:lang w:val="zh-CN"/>
              </w:rPr>
            </w:pPr>
            <w:r>
              <w:rPr>
                <w:rFonts w:hint="eastAsia" w:ascii="仿宋_GB2312" w:hAnsi="仿宋_GB2312" w:eastAsia="仿宋_GB2312" w:cs="仿宋_GB2312"/>
                <w:sz w:val="24"/>
                <w:highlight w:val="none"/>
                <w:lang w:val="zh-CN"/>
              </w:rPr>
              <w:t>全面开展村庄“三清理、三拆除、三整治”回头看，建立健全长效保洁机制。2021年全市100%村庄达到干净整洁标准，每个镇至少创建1个美丽宜居示范村；2023年全市68%村庄达到美丽宜居标准。2025年底前，80%以上行政村达到美丽宜居村标准。</w:t>
            </w:r>
          </w:p>
          <w:p>
            <w:pPr>
              <w:spacing w:line="360" w:lineRule="auto"/>
              <w:ind w:firstLine="482"/>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（二）实施农村厕所革命行动</w:t>
            </w:r>
          </w:p>
          <w:p>
            <w:pPr>
              <w:spacing w:line="360" w:lineRule="auto"/>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以“厕所革命”进农村、进农户、进农村学校、进景区为抓手，深入推进厕所革命。到2025年，乡村4A级以上景区至少有2座厕所达到2A级标准。</w:t>
            </w:r>
          </w:p>
          <w:p>
            <w:pPr>
              <w:spacing w:line="360" w:lineRule="auto"/>
              <w:ind w:firstLine="482"/>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（三)实施农村生活垃圾治理行动</w:t>
            </w:r>
          </w:p>
          <w:p>
            <w:pPr>
              <w:spacing w:line="360" w:lineRule="auto"/>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完善农村垃圾处理“户分类、村收集、镇转运、县处理”的长效工作机制，全面推行农村生活垃圾分类，在有条件的地方试行村内保洁、垃圾收集、转运、处理市场化运作。到2025年，农村生活垃圾收运处置体系稳定运行。</w:t>
            </w:r>
          </w:p>
          <w:p>
            <w:pPr>
              <w:spacing w:line="360" w:lineRule="auto"/>
              <w:ind w:firstLine="482"/>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（四）实施农村生活污水治理攻坚行动</w:t>
            </w:r>
          </w:p>
          <w:p>
            <w:pPr>
              <w:spacing w:line="360" w:lineRule="auto"/>
              <w:ind w:firstLine="480" w:firstLineChars="200"/>
              <w:rPr>
                <w:rFonts w:ascii="Times New Roman" w:hAnsi="Times New Roman" w:eastAsia="仿宋"/>
                <w:sz w:val="24"/>
                <w:highlight w:val="none"/>
              </w:rPr>
            </w:pPr>
            <w:r>
              <w:rPr>
                <w:rFonts w:hint="eastAsia" w:ascii="仿宋_GB2312" w:hAnsi="仿宋_GB2312" w:eastAsia="仿宋_GB2312" w:cs="仿宋_GB2312"/>
                <w:sz w:val="24"/>
                <w:highlight w:val="none"/>
              </w:rPr>
              <w:t>统筹农村生活污水、黑臭水体治理，因地制宜、注重实效加快推进农村生活污水治理和生活污水资源化利用，提高农村生活污水收集率、治理率和资源利用率。2021年，高质量完成纳入民生实事的</w:t>
            </w:r>
            <w:r>
              <w:rPr>
                <w:rFonts w:hint="eastAsia" w:ascii="仿宋_GB2312" w:hAnsi="仿宋_GB2312" w:eastAsia="仿宋_GB2312" w:cs="仿宋_GB2312"/>
                <w:sz w:val="24"/>
                <w:highlight w:val="none"/>
                <w:lang w:val="zh-CN"/>
              </w:rPr>
              <w:t>60</w:t>
            </w:r>
            <w:r>
              <w:rPr>
                <w:rFonts w:hint="eastAsia" w:ascii="仿宋_GB2312" w:hAnsi="仿宋_GB2312" w:eastAsia="仿宋_GB2312" w:cs="仿宋_GB2312"/>
                <w:sz w:val="24"/>
                <w:highlight w:val="none"/>
              </w:rPr>
              <w:t>条自然村生活污水治理和资源化利用；在茂南区羊角镇、电白区旦场镇、信宜市东镇街道、高州市分界镇、化州市新安镇、滨海新区博贺镇和电城镇、高新区七迳镇创建农村、城镇生活污水治理和资源化利用示范镇样板；</w:t>
            </w:r>
            <w:r>
              <w:rPr>
                <w:rFonts w:hint="eastAsia" w:ascii="仿宋_GB2312" w:hAnsi="仿宋_GB2312" w:eastAsia="仿宋_GB2312" w:cs="仿宋_GB2312"/>
                <w:sz w:val="24"/>
                <w:highlight w:val="none"/>
                <w:lang w:val="zh-CN"/>
              </w:rPr>
              <w:t>2022</w:t>
            </w:r>
            <w:r>
              <w:rPr>
                <w:rFonts w:hint="eastAsia" w:ascii="仿宋_GB2312" w:hAnsi="仿宋_GB2312" w:eastAsia="仿宋_GB2312" w:cs="仿宋_GB2312"/>
                <w:sz w:val="24"/>
                <w:highlight w:val="none"/>
              </w:rPr>
              <w:t>年全市农村生活污水治理率达到</w:t>
            </w: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sz w:val="24"/>
                <w:highlight w:val="none"/>
              </w:rPr>
              <w:t>0%以上；2025年，全市农村生活污水治理率达到</w:t>
            </w:r>
            <w:r>
              <w:rPr>
                <w:rFonts w:hint="eastAsia" w:ascii="仿宋_GB2312" w:hAnsi="仿宋_GB2312" w:eastAsia="仿宋_GB2312" w:cs="仿宋_GB2312"/>
                <w:color w:val="auto"/>
                <w:sz w:val="24"/>
                <w:highlight w:val="none"/>
              </w:rPr>
              <w:t>70</w:t>
            </w:r>
            <w:r>
              <w:rPr>
                <w:rFonts w:hint="eastAsia" w:ascii="仿宋_GB2312" w:hAnsi="仿宋_GB2312" w:eastAsia="仿宋_GB2312" w:cs="仿宋_GB2312"/>
                <w:sz w:val="24"/>
                <w:highlight w:val="none"/>
              </w:rPr>
              <w:t>%以上。</w:t>
            </w:r>
          </w:p>
        </w:tc>
      </w:tr>
    </w:tbl>
    <w:p>
      <w:pPr>
        <w:pStyle w:val="5"/>
        <w:spacing w:before="0" w:beforeLines="0" w:after="0" w:afterLines="0" w:line="600" w:lineRule="exact"/>
        <w:jc w:val="center"/>
        <w:rPr>
          <w:rFonts w:ascii="Times New Roman" w:hAnsi="Times New Roman" w:eastAsia="黑体"/>
          <w:b w:val="0"/>
          <w:bCs w:val="0"/>
          <w:sz w:val="32"/>
          <w:highlight w:val="none"/>
        </w:rPr>
      </w:pPr>
      <w:bookmarkStart w:id="1015" w:name="_Toc32022"/>
      <w:bookmarkStart w:id="1016" w:name="_Toc13371"/>
      <w:bookmarkStart w:id="1017" w:name="_Toc8038"/>
      <w:bookmarkStart w:id="1018" w:name="_Toc11604"/>
      <w:bookmarkStart w:id="1019" w:name="_Toc6913"/>
      <w:bookmarkStart w:id="1020" w:name="_Toc23211"/>
      <w:bookmarkStart w:id="1021" w:name="_Toc29512"/>
      <w:bookmarkStart w:id="1022" w:name="_Toc19512"/>
      <w:bookmarkStart w:id="1023" w:name="_Toc1636"/>
      <w:bookmarkStart w:id="1024" w:name="_Toc2524"/>
      <w:bookmarkStart w:id="1025" w:name="_Toc18174"/>
      <w:bookmarkStart w:id="1026" w:name="_Toc17535"/>
      <w:bookmarkStart w:id="1027" w:name="_Toc1210"/>
      <w:bookmarkStart w:id="1028" w:name="_Toc8285"/>
      <w:bookmarkStart w:id="1029" w:name="_Toc28150"/>
      <w:bookmarkStart w:id="1030" w:name="_Toc4917"/>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 xml:space="preserve">第三节  </w:t>
      </w:r>
      <w:bookmarkEnd w:id="1015"/>
      <w:r>
        <w:rPr>
          <w:rFonts w:ascii="Times New Roman" w:hAnsi="Times New Roman" w:eastAsia="黑体"/>
          <w:b w:val="0"/>
          <w:bCs w:val="0"/>
          <w:sz w:val="32"/>
          <w:highlight w:val="none"/>
        </w:rPr>
        <w:t>建设乡村便捷高效生活圈</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spacing w:line="600" w:lineRule="exact"/>
        <w:ind w:firstLine="643"/>
        <w:rPr>
          <w:rFonts w:hint="eastAsia" w:hAnsi="仿宋_GB2312" w:eastAsia="仿宋_GB2312" w:cs="仿宋_GB2312"/>
          <w:sz w:val="32"/>
          <w:szCs w:val="22"/>
          <w:highlight w:val="none"/>
        </w:rPr>
      </w:pPr>
      <w:bookmarkStart w:id="1031" w:name="_Toc10358"/>
      <w:r>
        <w:rPr>
          <w:rFonts w:hint="eastAsia" w:hAnsi="仿宋_GB2312" w:eastAsia="仿宋_GB2312" w:cs="仿宋_GB2312"/>
          <w:kern w:val="0"/>
          <w:sz w:val="32"/>
          <w:szCs w:val="22"/>
          <w:highlight w:val="none"/>
        </w:rPr>
        <w:t>统筹乡村居民点与生产生态空间布局，实施村庄基础设施建设工程，改善乡村基本公共服务，创新推动乡村便捷高效生活圈建设，提升乡村宜居宜业水平。</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032" w:name="_Toc5550"/>
      <w:bookmarkStart w:id="1033" w:name="_Toc6094"/>
      <w:bookmarkStart w:id="1034" w:name="_Toc22859"/>
      <w:bookmarkStart w:id="1035" w:name="_Toc25316"/>
      <w:bookmarkStart w:id="1036" w:name="_Toc21534"/>
      <w:bookmarkStart w:id="1037" w:name="_Toc12793"/>
      <w:bookmarkStart w:id="1038" w:name="_Toc14022"/>
      <w:bookmarkStart w:id="1039" w:name="_Toc16827"/>
      <w:bookmarkStart w:id="1040" w:name="_Toc30442"/>
      <w:bookmarkStart w:id="1041" w:name="_Toc14102"/>
      <w:bookmarkStart w:id="1042" w:name="_Toc27684"/>
      <w:bookmarkStart w:id="1043" w:name="_Toc14625"/>
      <w:bookmarkStart w:id="1044" w:name="_Toc7262"/>
      <w:bookmarkStart w:id="1045" w:name="_Toc26682"/>
      <w:r>
        <w:rPr>
          <w:rFonts w:hint="eastAsia" w:ascii="黑体" w:hAnsi="黑体" w:eastAsia="黑体" w:cs="黑体"/>
          <w:b w:val="0"/>
          <w:bCs w:val="0"/>
          <w:highlight w:val="none"/>
        </w:rPr>
        <w:t>一、实施村庄基础设施建设工程</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widowControl/>
        <w:spacing w:line="600" w:lineRule="exact"/>
        <w:ind w:firstLine="643" w:firstLineChars="200"/>
        <w:jc w:val="left"/>
        <w:rPr>
          <w:rFonts w:hint="eastAsia" w:hAnsi="仿宋_GB2312" w:eastAsia="仿宋_GB2312" w:cs="仿宋_GB2312"/>
          <w:sz w:val="32"/>
          <w:szCs w:val="36"/>
          <w:highlight w:val="none"/>
        </w:rPr>
      </w:pPr>
      <w:r>
        <w:rPr>
          <w:rFonts w:hint="eastAsia" w:hAnsi="仿宋_GB2312" w:eastAsia="仿宋_GB2312" w:cs="仿宋_GB2312"/>
          <w:b/>
          <w:bCs/>
          <w:sz w:val="32"/>
          <w:szCs w:val="36"/>
          <w:highlight w:val="none"/>
        </w:rPr>
        <w:t>强化完善农村交通物流设施建设。</w:t>
      </w:r>
      <w:r>
        <w:rPr>
          <w:rFonts w:hint="eastAsia" w:hAnsi="仿宋_GB2312" w:eastAsia="仿宋_GB2312" w:cs="仿宋_GB2312"/>
          <w:sz w:val="32"/>
          <w:szCs w:val="36"/>
          <w:highlight w:val="none"/>
        </w:rPr>
        <w:t>推进农村道路建设向全域内符合条件的自然村延伸。除纳入搬迁、撤并、社区和城区建设规划的村庄，以及远离村庄的散居户（20户以内）和常年无人居住户的村外，实现自然村村内道路路面基本硬底化。2022年全域推进自然村村内道路建设，实现全市纳入乡村振兴规划建设的自然村内干路路面基本硬化；2023年巩固拓展自然村硬化路建设成果，基本形成有地方特色、切合实际、可操作性较强的村内道路长效管护机制。支持具备条件、满足农产品运输和乡村旅游发展需要的村道拓宽、优化提级。推</w:t>
      </w:r>
      <w:r>
        <w:rPr>
          <w:rFonts w:hint="eastAsia" w:ascii="仿宋_GB2312" w:hAnsi="仿宋_GB2312" w:eastAsia="仿宋_GB2312" w:cs="仿宋_GB2312"/>
          <w:kern w:val="0"/>
          <w:sz w:val="32"/>
          <w:szCs w:val="22"/>
          <w:highlight w:val="none"/>
        </w:rPr>
        <w:t>进“农村公路+产业”融</w:t>
      </w:r>
      <w:r>
        <w:rPr>
          <w:rFonts w:hint="eastAsia" w:hAnsi="仿宋_GB2312" w:eastAsia="仿宋_GB2312" w:cs="仿宋_GB2312"/>
          <w:sz w:val="32"/>
          <w:szCs w:val="36"/>
          <w:highlight w:val="none"/>
        </w:rPr>
        <w:t>合发展，加快改造连接现代农业产业园区、林场和旅游景点的农村公路，真正使农村公路成为产业路、致富路、幸福路。</w:t>
      </w:r>
      <w:r>
        <w:rPr>
          <w:rFonts w:hint="eastAsia" w:hAnsi="仿宋_GB2312" w:eastAsia="仿宋_GB2312" w:cs="仿宋_GB2312"/>
          <w:kern w:val="0"/>
          <w:sz w:val="32"/>
          <w:szCs w:val="22"/>
          <w:highlight w:val="none"/>
        </w:rPr>
        <w:t>到2025年，乡镇通三级及以上公路比例达100%、建制村通双车道公路比例达80%以上</w:t>
      </w:r>
      <w:r>
        <w:rPr>
          <w:rFonts w:hint="eastAsia" w:hAnsi="仿宋_GB2312" w:eastAsia="仿宋_GB2312" w:cs="仿宋_GB2312"/>
          <w:sz w:val="32"/>
          <w:szCs w:val="36"/>
          <w:highlight w:val="none"/>
        </w:rPr>
        <w:t>。</w:t>
      </w:r>
    </w:p>
    <w:p>
      <w:pPr>
        <w:pStyle w:val="20"/>
        <w:spacing w:line="600" w:lineRule="exact"/>
        <w:ind w:firstLine="640"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sz w:val="32"/>
          <w:szCs w:val="36"/>
          <w:highlight w:val="none"/>
        </w:rPr>
        <w:t>完善县级物流园、乡镇物流站、村级物流点三级物流网络，支持乡镇建设集客运、物流、商务、邮政、功效等多种服务功能于一体的综合服务站。加快物流配送中心、专业批发市场、冷链仓储物流等设施建设，支持建设高州农产品加工冷链物流产业园。支持智慧物流建设。加快推进农村物流网络节点建设，以邮政、快递、商贸、供销和交通运输等物流建设为基础，鼓励物流龙头企业、快递电商、中小企业物流联盟衍生农村经营服务网络，形成完善的农村综合物流配送体系，切实解决农村物</w:t>
      </w:r>
      <w:r>
        <w:rPr>
          <w:rFonts w:hint="eastAsia" w:ascii="仿宋_GB2312" w:hAnsi="仿宋_GB2312" w:eastAsia="仿宋_GB2312" w:cs="仿宋_GB2312"/>
          <w:kern w:val="0"/>
          <w:sz w:val="32"/>
          <w:szCs w:val="22"/>
          <w:highlight w:val="none"/>
        </w:rPr>
        <w:t>流“最后一公里”问题。</w:t>
      </w:r>
      <w:r>
        <w:rPr>
          <w:rFonts w:hint="eastAsia" w:ascii="仿宋_GB2312" w:hAnsi="仿宋_GB2312" w:eastAsia="仿宋_GB2312" w:cs="仿宋_GB2312"/>
          <w:sz w:val="32"/>
          <w:szCs w:val="36"/>
          <w:highlight w:val="none"/>
        </w:rPr>
        <w:t>鼓励推广定时、定点、定线的农村物流“货运班线”模式，开展县至乡镇、沿途行政村的双向货物运输配送服</w:t>
      </w:r>
      <w:r>
        <w:rPr>
          <w:rFonts w:hint="eastAsia" w:ascii="仿宋_GB2312" w:hAnsi="仿宋_GB2312" w:eastAsia="仿宋_GB2312" w:cs="仿宋_GB2312"/>
          <w:kern w:val="0"/>
          <w:sz w:val="32"/>
          <w:szCs w:val="22"/>
          <w:highlight w:val="none"/>
        </w:rPr>
        <w:t>务。继续深入实施“快递下乡”工程，</w:t>
      </w:r>
      <w:r>
        <w:rPr>
          <w:rFonts w:hint="eastAsia" w:ascii="仿宋_GB2312" w:hAnsi="仿宋_GB2312" w:eastAsia="仿宋_GB2312" w:cs="仿宋_GB2312"/>
          <w:sz w:val="32"/>
          <w:szCs w:val="32"/>
          <w:highlight w:val="none"/>
        </w:rPr>
        <w:t>持续推进“快递进村”工程，</w:t>
      </w:r>
      <w:r>
        <w:rPr>
          <w:rFonts w:hint="eastAsia" w:ascii="仿宋_GB2312" w:hAnsi="仿宋_GB2312" w:eastAsia="仿宋_GB2312" w:cs="仿宋_GB2312"/>
          <w:kern w:val="0"/>
          <w:sz w:val="32"/>
          <w:szCs w:val="22"/>
          <w:highlight w:val="none"/>
        </w:rPr>
        <w:t>打造城乡一体化发展的快递服务网络，引导快递企业加强农村末端快递服务网点的规划建设，提高快递服务覆盖范围，实现“县县有分拨、乡乡有网点、村村通快递”。</w:t>
      </w:r>
      <w:r>
        <w:rPr>
          <w:rFonts w:hint="eastAsia" w:ascii="仿宋_GB2312" w:hAnsi="仿宋_GB2312" w:eastAsia="仿宋_GB2312" w:cs="仿宋_GB2312"/>
          <w:sz w:val="32"/>
          <w:szCs w:val="36"/>
          <w:highlight w:val="none"/>
        </w:rPr>
        <w:t>推动快递服务与电子商务上下游产业融合发展；突出茂名市“打造</w:t>
      </w:r>
      <w:r>
        <w:rPr>
          <w:rFonts w:hint="eastAsia" w:ascii="仿宋_GB2312" w:hAnsi="仿宋_GB2312" w:eastAsia="仿宋_GB2312" w:cs="仿宋_GB2312"/>
          <w:sz w:val="32"/>
          <w:szCs w:val="32"/>
          <w:highlight w:val="none"/>
        </w:rPr>
        <w:t>国家级特色现代农业产业基地</w:t>
      </w:r>
      <w:r>
        <w:rPr>
          <w:rFonts w:hint="eastAsia" w:ascii="仿宋_GB2312" w:hAnsi="仿宋_GB2312" w:eastAsia="仿宋_GB2312" w:cs="仿宋_GB2312"/>
          <w:sz w:val="32"/>
          <w:szCs w:val="36"/>
          <w:highlight w:val="none"/>
        </w:rPr>
        <w:t>”的发展定位，推广“快递+合作社+农产品”模式，打造生鲜食品、农特产品的“直通车”。到2025年，实现镇村物流节点全覆盖。</w:t>
      </w:r>
    </w:p>
    <w:p>
      <w:pPr>
        <w:spacing w:before="0" w:beforeLines="0" w:line="600" w:lineRule="exact"/>
        <w:ind w:right="0" w:firstLine="630"/>
        <w:rPr>
          <w:rFonts w:hint="eastAsia" w:hAnsi="仿宋_GB2312" w:eastAsia="仿宋_GB2312" w:cs="仿宋_GB2312"/>
          <w:color w:val="auto"/>
          <w:sz w:val="32"/>
          <w:szCs w:val="36"/>
          <w:highlight w:val="none"/>
        </w:rPr>
      </w:pPr>
      <w:r>
        <w:rPr>
          <w:rFonts w:hint="eastAsia" w:hAnsi="仿宋_GB2312" w:eastAsia="仿宋_GB2312" w:cs="仿宋_GB2312"/>
          <w:b/>
          <w:bCs/>
          <w:sz w:val="32"/>
          <w:szCs w:val="36"/>
          <w:highlight w:val="none"/>
        </w:rPr>
        <w:t>实施农村供水攻坚行动。</w:t>
      </w:r>
      <w:r>
        <w:rPr>
          <w:rFonts w:hint="eastAsia" w:hAnsi="仿宋_GB2312" w:eastAsia="仿宋_GB2312" w:cs="仿宋_GB2312"/>
          <w:sz w:val="32"/>
          <w:szCs w:val="36"/>
          <w:highlight w:val="none"/>
        </w:rPr>
        <w:t>按照规模化发展、标准化建设、市场化运营、专业化管理原则，统筹推进县镇村集中供水设施及配套管网建设，在完成村村通自来水工程建设集体积累基础上，进一步提高饮用水入户率和水质达标率。城镇周边村庄纳入城镇供水系统统一供水。有条件的自然村采取升级改造、管网延伸等方式，实行集中连片供水。对不具备扩网条件的自然村，因地制宜实施小型集中供水，改造供水管网，提升供水保障能力。加强农村水环境治理和饮用水水源保护，实施农村生态清洁小流域建设。划定饮用水水源保护区或保护范围，定期监测水质，防止水源污染。全面开展农村集中供水全覆盖攻坚行动，持续巩固提升农村供水保障能力和水平，确保农村居民喝上“安全水”“放心水”。</w:t>
      </w:r>
      <w:r>
        <w:rPr>
          <w:rFonts w:hint="eastAsia" w:hAnsi="仿宋_GB2312" w:eastAsia="仿宋_GB2312" w:cs="仿宋_GB2312"/>
          <w:color w:val="auto"/>
          <w:sz w:val="32"/>
          <w:szCs w:val="36"/>
          <w:highlight w:val="none"/>
        </w:rPr>
        <w:t>到2025年，力争实现城乡供水“三同五化”（即同标准、同质量、同服务，规模化发展、标准化建设、一体化管理、专业化运作、智慧化服务）的高质量发展格局，确保农村自来水普及率稳定在99%以上，农村生活饮用水水质合格率稳定在90%以上，水费收缴率稳定在98%以上，推动全市农村供水保障能力迈上一个新台阶。</w:t>
      </w:r>
    </w:p>
    <w:p>
      <w:pPr>
        <w:pStyle w:val="20"/>
        <w:spacing w:line="600" w:lineRule="exact"/>
        <w:ind w:firstLine="643"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b/>
          <w:bCs/>
          <w:sz w:val="32"/>
          <w:szCs w:val="36"/>
          <w:highlight w:val="none"/>
        </w:rPr>
        <w:t>提升农村水利基础设施建设。</w:t>
      </w:r>
      <w:r>
        <w:rPr>
          <w:rFonts w:hint="eastAsia" w:ascii="仿宋_GB2312" w:hAnsi="仿宋_GB2312" w:eastAsia="仿宋_GB2312" w:cs="仿宋_GB2312"/>
          <w:sz w:val="32"/>
          <w:szCs w:val="36"/>
          <w:highlight w:val="none"/>
        </w:rPr>
        <w:t>落实国家农业节水行动，完善农业灌溉工程建设，大力推进灌区、涝泵站更新改造工程建设，完善农田灌排工程体系。完善农村防洪排涝工程体系，加强中小河流和河湖水系治理、重点区域排涝能力、病险水库水闸除险加固、山洪灾害防治、农村基层防汛预报预警及群测群防体系建设，重点推进鉴江干流、全市中小河流治理项目及大中型病险水闸建设，加快推进高州水库除险加固工程水库恢复89米正常蓄水位淹没处理。</w:t>
      </w:r>
    </w:p>
    <w:p>
      <w:pPr>
        <w:pStyle w:val="20"/>
        <w:spacing w:line="600" w:lineRule="exact"/>
        <w:ind w:firstLine="643"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b/>
          <w:bCs/>
          <w:sz w:val="32"/>
          <w:szCs w:val="36"/>
          <w:highlight w:val="none"/>
        </w:rPr>
        <w:t>加快推进农村电网升级改造。</w:t>
      </w:r>
      <w:r>
        <w:rPr>
          <w:rFonts w:hint="eastAsia" w:ascii="仿宋_GB2312" w:hAnsi="仿宋_GB2312" w:eastAsia="仿宋_GB2312" w:cs="仿宋_GB2312"/>
          <w:kern w:val="0"/>
          <w:sz w:val="32"/>
          <w:szCs w:val="22"/>
          <w:highlight w:val="none"/>
        </w:rPr>
        <w:t>实施新一轮农村电网改造升级工程，</w:t>
      </w:r>
      <w:r>
        <w:rPr>
          <w:rFonts w:hint="eastAsia" w:ascii="仿宋_GB2312" w:hAnsi="仿宋_GB2312" w:eastAsia="仿宋_GB2312" w:cs="仿宋_GB2312"/>
          <w:sz w:val="32"/>
          <w:szCs w:val="36"/>
          <w:highlight w:val="none"/>
        </w:rPr>
        <w:t>推进乡村电力主网、配网和老旧线路设备改造与建设，加强农村各类线网管理。推进城乡供电服务均等化，提升农村供电可靠率、综合电压合格率、户均配变容量等关键性指标，建设结构合理、技术先进、供电可靠、节能高效的供电网络，确保高峰供电稳定，逐步</w:t>
      </w:r>
      <w:r>
        <w:rPr>
          <w:rFonts w:hint="eastAsia" w:ascii="仿宋_GB2312" w:hAnsi="仿宋_GB2312" w:eastAsia="仿宋_GB2312" w:cs="仿宋_GB2312"/>
          <w:kern w:val="0"/>
          <w:sz w:val="32"/>
          <w:szCs w:val="22"/>
          <w:highlight w:val="none"/>
        </w:rPr>
        <w:t>实现城乡电力服务一体化。“十四五”</w:t>
      </w:r>
      <w:r>
        <w:rPr>
          <w:rFonts w:hint="eastAsia" w:ascii="仿宋_GB2312" w:hAnsi="仿宋_GB2312" w:eastAsia="仿宋_GB2312" w:cs="仿宋_GB2312"/>
          <w:sz w:val="32"/>
          <w:szCs w:val="36"/>
          <w:highlight w:val="none"/>
        </w:rPr>
        <w:t>期间，完成农村</w:t>
      </w:r>
      <w:r>
        <w:rPr>
          <w:rFonts w:hint="eastAsia" w:ascii="仿宋_GB2312" w:hAnsi="仿宋_GB2312" w:eastAsia="仿宋_GB2312" w:cs="仿宋_GB2312"/>
          <w:kern w:val="0"/>
          <w:sz w:val="32"/>
          <w:szCs w:val="22"/>
          <w:highlight w:val="none"/>
        </w:rPr>
        <w:t>地区“低电压”问题</w:t>
      </w:r>
      <w:r>
        <w:rPr>
          <w:rFonts w:hint="eastAsia" w:ascii="仿宋_GB2312" w:hAnsi="仿宋_GB2312" w:eastAsia="仿宋_GB2312" w:cs="仿宋_GB2312"/>
          <w:sz w:val="32"/>
          <w:szCs w:val="36"/>
          <w:highlight w:val="none"/>
        </w:rPr>
        <w:t>整改。</w:t>
      </w:r>
    </w:p>
    <w:p>
      <w:pPr>
        <w:pStyle w:val="20"/>
        <w:spacing w:line="600" w:lineRule="exact"/>
        <w:ind w:firstLine="643"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b/>
          <w:bCs/>
          <w:sz w:val="32"/>
          <w:szCs w:val="36"/>
          <w:highlight w:val="none"/>
        </w:rPr>
        <w:t>大力开展数字乡村建设。</w:t>
      </w:r>
      <w:r>
        <w:rPr>
          <w:rFonts w:hint="eastAsia" w:ascii="仿宋_GB2312" w:hAnsi="仿宋_GB2312" w:eastAsia="仿宋_GB2312" w:cs="仿宋_GB2312"/>
          <w:sz w:val="32"/>
          <w:szCs w:val="36"/>
          <w:highlight w:val="none"/>
        </w:rPr>
        <w:t>积极贯彻落实《广东数字农业农村发展行动计划（2020—2025年）》，加快农村宽带通信网、移动互联网、数字电视网和下一代互联网发展的互联互通和业务渗透融合，推动网络基础设施共建共享。推动乡村信息服务供给和基础设施数字化转型，按照“有场所、有人员、有设备、有宽带、有网页、有持续运营能力”的六有标准，全面完成益农信息</w:t>
      </w:r>
      <w:r>
        <w:rPr>
          <w:rFonts w:hint="eastAsia" w:ascii="仿宋_GB2312" w:hAnsi="仿宋_GB2312" w:eastAsia="仿宋_GB2312" w:cs="仿宋_GB2312"/>
          <w:kern w:val="0"/>
          <w:sz w:val="32"/>
          <w:szCs w:val="22"/>
          <w:highlight w:val="none"/>
        </w:rPr>
        <w:t>社建设工作，推动益农信息社实施“政府+运营商+服务商”三位一体推</w:t>
      </w:r>
      <w:r>
        <w:rPr>
          <w:rFonts w:hint="eastAsia" w:ascii="仿宋_GB2312" w:hAnsi="仿宋_GB2312" w:eastAsia="仿宋_GB2312" w:cs="仿宋_GB2312"/>
          <w:sz w:val="32"/>
          <w:szCs w:val="36"/>
          <w:highlight w:val="none"/>
        </w:rPr>
        <w:t>进机制。推动5G智慧农业试验区建设。加强农村数字化关键信息基础设施防护和网络安全保障，摸清茂名市农业农村数字化装备建设情况底数，避免重复建设，提升在线率。至2025年底，20户以上自然村光网实现深度覆盖，5G网络实现农村重点区域普遍覆盖，乡村产业数字信息化得到应用，城乡“数字鸿沟”明显缩小。</w:t>
      </w:r>
    </w:p>
    <w:p>
      <w:pPr>
        <w:pStyle w:val="20"/>
        <w:spacing w:line="600" w:lineRule="exact"/>
        <w:ind w:firstLine="643" w:firstLineChars="200"/>
        <w:rPr>
          <w:rFonts w:eastAsia="仿宋"/>
          <w:sz w:val="32"/>
          <w:szCs w:val="36"/>
          <w:highlight w:val="none"/>
        </w:rPr>
      </w:pPr>
      <w:r>
        <w:rPr>
          <w:rFonts w:hint="eastAsia" w:ascii="仿宋_GB2312" w:hAnsi="仿宋_GB2312" w:eastAsia="仿宋_GB2312" w:cs="仿宋_GB2312"/>
          <w:b/>
          <w:bCs/>
          <w:sz w:val="32"/>
          <w:szCs w:val="36"/>
          <w:highlight w:val="none"/>
        </w:rPr>
        <w:t>建立健全农村基础设施长效管护机制。</w:t>
      </w:r>
      <w:r>
        <w:rPr>
          <w:rFonts w:hint="eastAsia" w:ascii="仿宋_GB2312" w:hAnsi="仿宋_GB2312" w:eastAsia="仿宋_GB2312" w:cs="仿宋_GB2312"/>
          <w:sz w:val="32"/>
          <w:szCs w:val="36"/>
          <w:highlight w:val="none"/>
        </w:rPr>
        <w:t>建立明晰的管护责任制度，落实地方政府主导责任，压实行业主管部门监管责任，充分发挥村级组织作用，强化运营企业管护责任，落实受益者责任。健全高效的分类管护机制，持续完善非经营性设施政府或村级组织管护机制、健全准经营性设施多元化管护机制、创新经营性设施市场化管护机制、梯次推进公共基础设施城乡一体化管护。完善相关的管护配套制度，不断健全农村公共基础设施产权管理制度、建立设施建设与管护机制同步落实制度，逐步建立市场化、专业化管护制度。到2025年，政府主导、多方参与、市场运作的农村公共基础设施管护体制机制初步建立，管护主体和责任明晰，管护标准和规范健全，管护经费较好落实，管护水平和质量显著提升。</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046" w:name="_Toc31424"/>
      <w:bookmarkStart w:id="1047" w:name="_Toc4831"/>
      <w:bookmarkStart w:id="1048" w:name="_Toc13203"/>
      <w:bookmarkStart w:id="1049" w:name="_Toc8794"/>
      <w:bookmarkStart w:id="1050" w:name="_Toc2405"/>
      <w:bookmarkStart w:id="1051" w:name="_Toc4608"/>
      <w:bookmarkStart w:id="1052" w:name="_Toc25835"/>
      <w:bookmarkStart w:id="1053" w:name="_Toc5208"/>
      <w:bookmarkStart w:id="1054" w:name="_Toc24614"/>
      <w:bookmarkStart w:id="1055" w:name="_Toc31164"/>
      <w:bookmarkStart w:id="1056" w:name="_Toc24568"/>
      <w:bookmarkStart w:id="1057" w:name="_Toc4347"/>
      <w:bookmarkStart w:id="1058" w:name="_Toc18972"/>
      <w:bookmarkStart w:id="1059" w:name="_Toc5573"/>
      <w:bookmarkStart w:id="1060" w:name="_Toc24437"/>
      <w:r>
        <w:rPr>
          <w:rFonts w:hint="eastAsia" w:ascii="黑体" w:hAnsi="黑体" w:eastAsia="黑体" w:cs="黑体"/>
          <w:b w:val="0"/>
          <w:bCs w:val="0"/>
          <w:highlight w:val="none"/>
        </w:rPr>
        <w:t>二、提升农村公共服务能力条件</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20"/>
        <w:spacing w:line="600" w:lineRule="exact"/>
        <w:ind w:firstLine="643"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b/>
          <w:bCs/>
          <w:sz w:val="32"/>
          <w:szCs w:val="36"/>
          <w:highlight w:val="none"/>
        </w:rPr>
        <w:t>推动城乡教育一体化建设。</w:t>
      </w:r>
      <w:r>
        <w:rPr>
          <w:rFonts w:hint="eastAsia" w:ascii="仿宋_GB2312" w:hAnsi="仿宋_GB2312" w:eastAsia="仿宋_GB2312" w:cs="仿宋_GB2312"/>
          <w:sz w:val="32"/>
          <w:szCs w:val="36"/>
          <w:highlight w:val="none"/>
        </w:rPr>
        <w:t>统筹规划布局农村基础教育学校，保障学生就近享有优质教育，推动建立以城带乡、整体推进、城乡一体、均衡发展的义务教育发展机制。进一步扶持普惠性民办幼儿园发展，重视附设幼儿班的投入，改善办班条件。按照城镇化和常住人口规模科学编制义务教育学校布局规划，科学测算学位需求，扩大学位增量，有序推进中心城区基础教育扩大规模、提升品质。改善乡村小规模学校和乡镇寄宿制学校条件，增加寄宿制学位供给，着力破解“乡村弱”和“城镇挤”问题。</w:t>
      </w:r>
      <w:r>
        <w:rPr>
          <w:rFonts w:hint="eastAsia" w:ascii="仿宋_GB2312" w:hAnsi="仿宋_GB2312" w:eastAsia="仿宋_GB2312" w:cs="仿宋_GB2312"/>
          <w:kern w:val="0"/>
          <w:sz w:val="32"/>
          <w:szCs w:val="22"/>
          <w:highlight w:val="none"/>
        </w:rPr>
        <w:t>研究探索小规模学校的常规态势和办学模式，保障小规模学校的信息化、音体</w:t>
      </w:r>
      <w:r>
        <w:rPr>
          <w:rFonts w:hint="eastAsia" w:ascii="仿宋_GB2312" w:hAnsi="仿宋_GB2312" w:eastAsia="仿宋_GB2312" w:cs="仿宋_GB2312"/>
          <w:sz w:val="32"/>
          <w:szCs w:val="36"/>
          <w:highlight w:val="none"/>
        </w:rPr>
        <w:t>美设施设备和教学仪器、图书配备，设置必要的功能教室。健全家庭经济困难学生、残疾儿童、留守儿童和随迁子女关爱与精准帮扶责任制，建立完善乡镇留守儿童教育机构。强化优质学校带动作用，积极推进集团化办学、学区化治理，健全城乡学校、公办学校助民办学校等帮扶机制，推动县域内义务教育城乡一体化发展。推进高水平高质量普及高中阶段教育。加快中等职业学校布局调整，以服务区域重点产业和特色产业为方向优化专业设置，办好县级职业教育中心，逐步分类推进中等职业教育免除学杂费制度。统筹城乡学校、乡镇中心学校和小规模学校美育课程设置、教学安排、教研活动和教师管理，采取同步课堂、共享优质在线资源等方式，补齐师资和资源短板。全面推进中小学教</w:t>
      </w:r>
      <w:r>
        <w:rPr>
          <w:rFonts w:hint="eastAsia" w:ascii="仿宋_GB2312" w:hAnsi="仿宋_GB2312" w:eastAsia="仿宋_GB2312" w:cs="仿宋_GB2312"/>
          <w:kern w:val="0"/>
          <w:sz w:val="32"/>
          <w:szCs w:val="22"/>
          <w:highlight w:val="none"/>
        </w:rPr>
        <w:t>师“县管校聘”管理改革，促进县</w:t>
      </w:r>
      <w:r>
        <w:rPr>
          <w:rFonts w:hint="eastAsia" w:ascii="仿宋_GB2312" w:hAnsi="仿宋_GB2312" w:eastAsia="仿宋_GB2312" w:cs="仿宋_GB2312"/>
          <w:sz w:val="32"/>
          <w:szCs w:val="36"/>
          <w:highlight w:val="none"/>
        </w:rPr>
        <w:t>域内教师资源均衡配置，加快补充农村学校紧缺学科教师。进一步落实山区和乡村边远地区教师生活补助和农村教师从教“上岗退费”政策。组织开展定向培养中小学教师，优化乡村教师队伍素质结构。开展对乡村学校在职教师的岗位能力培训，培养能够承担体育、美育、信息技术等教学与活动指导的兼职学科教师。落实中小学教师平均工资收入水平“两个不低于或高于”</w:t>
      </w:r>
      <w:r>
        <w:rPr>
          <w:rStyle w:val="16"/>
          <w:rFonts w:hint="eastAsia" w:ascii="仿宋_GB2312" w:hAnsi="仿宋_GB2312" w:eastAsia="仿宋_GB2312" w:cs="仿宋_GB2312"/>
          <w:sz w:val="32"/>
          <w:szCs w:val="36"/>
          <w:highlight w:val="none"/>
        </w:rPr>
        <w:footnoteReference w:id="9"/>
      </w:r>
      <w:r>
        <w:rPr>
          <w:rFonts w:hint="eastAsia" w:ascii="仿宋_GB2312" w:hAnsi="仿宋_GB2312" w:eastAsia="仿宋_GB2312" w:cs="仿宋_GB2312"/>
          <w:sz w:val="32"/>
          <w:szCs w:val="36"/>
          <w:highlight w:val="none"/>
        </w:rPr>
        <w:t>要求。推进乡村教师周转宿舍和配套设施建设，按规定将符合条件的乡村教师纳入当地住房保障范围，激励乡村教师长期从教。</w:t>
      </w:r>
    </w:p>
    <w:p>
      <w:pPr>
        <w:pStyle w:val="20"/>
        <w:spacing w:line="600" w:lineRule="exact"/>
        <w:ind w:firstLine="643"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b/>
          <w:bCs/>
          <w:sz w:val="32"/>
          <w:szCs w:val="36"/>
          <w:highlight w:val="none"/>
        </w:rPr>
        <w:t>加强农村公共卫生体系建设。</w:t>
      </w:r>
      <w:r>
        <w:rPr>
          <w:rFonts w:hint="eastAsia" w:ascii="仿宋_GB2312" w:hAnsi="仿宋_GB2312" w:eastAsia="仿宋_GB2312" w:cs="仿宋_GB2312"/>
          <w:kern w:val="0"/>
          <w:sz w:val="32"/>
          <w:szCs w:val="22"/>
          <w:highlight w:val="none"/>
        </w:rPr>
        <w:t>全面开展健康乡村建设，</w:t>
      </w:r>
      <w:r>
        <w:rPr>
          <w:rFonts w:hint="eastAsia" w:ascii="仿宋_GB2312" w:hAnsi="仿宋_GB2312" w:eastAsia="仿宋_GB2312" w:cs="仿宋_GB2312"/>
          <w:sz w:val="32"/>
          <w:szCs w:val="36"/>
          <w:highlight w:val="none"/>
        </w:rPr>
        <w:t>健全县镇村三级疾病预防控制网络，提高各级疾病预防控制中心的处置能力。完善突发公共卫生事件和紧急医学救援工作机制，强化卫生应急能力建设，规范信息报告。加强重点传染病监测研判，强化新冠肺炎等突发急性传染病防控。发挥村（居）委法律顾问律师作用，提升村（社区）防疫法治化水平。加</w:t>
      </w:r>
      <w:r>
        <w:rPr>
          <w:rFonts w:hint="eastAsia" w:ascii="仿宋_GB2312" w:hAnsi="仿宋_GB2312" w:eastAsia="仿宋_GB2312" w:cs="仿宋_GB2312"/>
          <w:kern w:val="0"/>
          <w:sz w:val="32"/>
          <w:szCs w:val="22"/>
          <w:highlight w:val="none"/>
        </w:rPr>
        <w:t>快高水平医疗联合体建设，逐步健全“县级公立医院-镇卫生院-村卫生站”三级梯次</w:t>
      </w:r>
      <w:r>
        <w:rPr>
          <w:rFonts w:hint="eastAsia" w:ascii="仿宋_GB2312" w:hAnsi="仿宋_GB2312" w:eastAsia="仿宋_GB2312" w:cs="仿宋_GB2312"/>
          <w:sz w:val="32"/>
          <w:szCs w:val="36"/>
          <w:highlight w:val="none"/>
        </w:rPr>
        <w:t>的紧密型医共体和医联体，提高医疗卫生资源利用效率</w:t>
      </w:r>
      <w:r>
        <w:rPr>
          <w:rFonts w:hint="eastAsia" w:ascii="仿宋_GB2312" w:hAnsi="仿宋_GB2312" w:eastAsia="仿宋_GB2312" w:cs="仿宋_GB2312"/>
          <w:kern w:val="0"/>
          <w:sz w:val="32"/>
          <w:szCs w:val="22"/>
          <w:highlight w:val="none"/>
        </w:rPr>
        <w:t>和综合服务能力。支持乡村卫生院改造升级，推进“一镇一院”标准化和“一村一站”规范</w:t>
      </w:r>
      <w:r>
        <w:rPr>
          <w:rFonts w:hint="eastAsia" w:ascii="仿宋_GB2312" w:hAnsi="仿宋_GB2312" w:eastAsia="仿宋_GB2312" w:cs="仿宋_GB2312"/>
          <w:sz w:val="32"/>
          <w:szCs w:val="36"/>
          <w:highlight w:val="none"/>
        </w:rPr>
        <w:t>化建设工程，实现群众常见病就近就诊。</w:t>
      </w:r>
      <w:r>
        <w:rPr>
          <w:rFonts w:hint="eastAsia" w:ascii="仿宋_GB2312" w:hAnsi="仿宋_GB2312" w:eastAsia="仿宋_GB2312" w:cs="仿宋_GB2312"/>
          <w:kern w:val="0"/>
          <w:sz w:val="32"/>
          <w:szCs w:val="22"/>
          <w:highlight w:val="none"/>
        </w:rPr>
        <w:t>加强乡村医生向执业助理医师转变，加大县镇医院医生巡诊频次，提升乡村医生医疗服务能力，提高基层卫生服务水平和质量</w:t>
      </w:r>
      <w:r>
        <w:rPr>
          <w:rFonts w:hint="eastAsia" w:ascii="仿宋_GB2312" w:hAnsi="仿宋_GB2312" w:eastAsia="仿宋_GB2312" w:cs="仿宋_GB2312"/>
          <w:sz w:val="32"/>
          <w:szCs w:val="36"/>
          <w:highlight w:val="none"/>
        </w:rPr>
        <w:t>，逐步实现分级诊疗，落实基层首诊制度。建立“互联网+医疗健康”就医模式，大力发展互联网+医疗服务，推动互联网+医疗服务流程优化再造，大力推进远程医疗应用体系建设，优先推进脱贫县镇村远程医疗建设，将省级远程医疗平台延伸至乡镇卫生院，构建省、市、县、镇、村五级远程医学服务体系。实施乡村卫生人才强基工程，完善农村订单定向培养医学大学生项目，推动完善适应行业特点的全科医生培养制度。以村级医养结合试点工作为抓手，建立试点管理长效机制，推动乡村“医养结合”产业发展。至2025年，全面建成覆盖全民、城乡统筹、权责清晰、保障适度、更可持续的多层次医疗保障体系。</w:t>
      </w:r>
      <w:r>
        <w:rPr>
          <w:rFonts w:hint="eastAsia" w:ascii="仿宋_GB2312" w:hAnsi="仿宋_GB2312" w:eastAsia="仿宋_GB2312" w:cs="仿宋_GB2312"/>
          <w:kern w:val="0"/>
          <w:sz w:val="32"/>
          <w:szCs w:val="22"/>
          <w:highlight w:val="none"/>
        </w:rPr>
        <w:t>结合好心文化、潘茂名文化和村内卫生站，建设一批具有本地特色的潘茂名中医馆。</w:t>
      </w:r>
      <w:r>
        <w:rPr>
          <w:rFonts w:hint="eastAsia" w:ascii="仿宋_GB2312" w:hAnsi="仿宋_GB2312" w:eastAsia="仿宋_GB2312" w:cs="仿宋_GB2312"/>
          <w:sz w:val="32"/>
          <w:szCs w:val="36"/>
          <w:highlight w:val="none"/>
        </w:rPr>
        <w:t>依托茂名山地森林资源和化</w:t>
      </w:r>
      <w:r>
        <w:rPr>
          <w:rFonts w:hint="eastAsia" w:ascii="仿宋_GB2312" w:hAnsi="仿宋_GB2312" w:eastAsia="仿宋_GB2312" w:cs="仿宋_GB2312"/>
          <w:kern w:val="0"/>
          <w:sz w:val="32"/>
          <w:szCs w:val="22"/>
          <w:highlight w:val="none"/>
        </w:rPr>
        <w:t>橘红、沉香等南药产业基础，发展林药经济与健康疗养项目，着力打造“潘茂名”中医</w:t>
      </w:r>
      <w:r>
        <w:rPr>
          <w:rFonts w:hint="eastAsia" w:ascii="仿宋_GB2312" w:hAnsi="仿宋_GB2312" w:eastAsia="仿宋_GB2312" w:cs="仿宋_GB2312"/>
          <w:sz w:val="32"/>
          <w:szCs w:val="36"/>
          <w:highlight w:val="none"/>
        </w:rPr>
        <w:t>药文化品牌，逐步发展形成特色的中医药医养服务。</w:t>
      </w:r>
    </w:p>
    <w:p>
      <w:pPr>
        <w:pStyle w:val="13"/>
        <w:spacing w:before="0" w:beforeLines="0" w:beforeAutospacing="0" w:line="600" w:lineRule="exact"/>
        <w:ind w:firstLine="643" w:firstLineChars="200"/>
        <w:jc w:val="both"/>
        <w:rPr>
          <w:rFonts w:hint="eastAsia" w:hAnsi="仿宋_GB2312" w:eastAsia="仿宋_GB2312" w:cs="仿宋_GB2312"/>
          <w:sz w:val="32"/>
          <w:szCs w:val="36"/>
          <w:highlight w:val="none"/>
        </w:rPr>
      </w:pPr>
      <w:r>
        <w:rPr>
          <w:rFonts w:hint="eastAsia" w:hAnsi="仿宋_GB2312" w:eastAsia="仿宋_GB2312" w:cs="仿宋_GB2312"/>
          <w:b/>
          <w:bCs/>
          <w:sz w:val="32"/>
          <w:szCs w:val="36"/>
          <w:highlight w:val="none"/>
        </w:rPr>
        <w:t>加快农村社会保障体系建设。</w:t>
      </w:r>
      <w:r>
        <w:rPr>
          <w:rFonts w:hint="eastAsia" w:hAnsi="仿宋_GB2312" w:eastAsia="仿宋_GB2312" w:cs="仿宋_GB2312"/>
          <w:sz w:val="32"/>
          <w:szCs w:val="36"/>
          <w:highlight w:val="none"/>
        </w:rPr>
        <w:t>按国家统一部署，提高城乡居民基本医疗保险财政补</w:t>
      </w:r>
      <w:r>
        <w:rPr>
          <w:rFonts w:hint="eastAsia" w:ascii="仿宋_GB2312" w:hAnsi="仿宋_GB2312" w:eastAsia="仿宋_GB2312" w:cs="仿宋_GB2312"/>
          <w:sz w:val="32"/>
          <w:szCs w:val="22"/>
          <w:highlight w:val="none"/>
        </w:rPr>
        <w:t>助和个人缴费标准。开通重点医疗救助对象参加城乡居民基本医疗保险的“绿色通道”，允许中途参保，确保困难群体实现应保尽保。落实将城乡支出型贫困群众纳入救助制度。强化农村社保经办服</w:t>
      </w:r>
      <w:r>
        <w:rPr>
          <w:rFonts w:hint="eastAsia" w:hAnsi="仿宋_GB2312" w:eastAsia="仿宋_GB2312" w:cs="仿宋_GB2312"/>
          <w:sz w:val="32"/>
          <w:szCs w:val="36"/>
          <w:highlight w:val="none"/>
        </w:rPr>
        <w:t>务能力建设，实现各村社保经办服务全覆盖。加快养老服务体系建设，形成以居家为基础、社区为依托、机构为补充、医养相结合的多层次养老保障格局。加快推进农村养老服务设施转型升级，支持农村老年养护院、医养结合设施、农村幸福院等养老服务设施建设，鼓励企业、集体和个人投入农村康养产业开发项目。各级政府用于社会福利事业的彩票公益金按不低于50%的比例用于养老服务体系建设。推进农村公益性殡葬设施建设。统筹城乡社会救助，逐步提高最低生活保障标准，实现应保尽保。建立健全农村留守儿童、妇女、老年人关爱服务体系，引导社会工作人才和志愿者积极参</w:t>
      </w:r>
      <w:r>
        <w:rPr>
          <w:rFonts w:hint="eastAsia" w:ascii="仿宋_GB2312" w:hAnsi="仿宋_GB2312" w:eastAsia="仿宋_GB2312" w:cs="仿宋_GB2312"/>
          <w:sz w:val="32"/>
          <w:szCs w:val="22"/>
          <w:highlight w:val="none"/>
        </w:rPr>
        <w:t>与，为农村“三留守”人员提供</w:t>
      </w:r>
      <w:r>
        <w:rPr>
          <w:rFonts w:hint="eastAsia" w:hAnsi="仿宋_GB2312" w:eastAsia="仿宋_GB2312" w:cs="仿宋_GB2312"/>
          <w:sz w:val="32"/>
          <w:szCs w:val="36"/>
          <w:highlight w:val="none"/>
        </w:rPr>
        <w:t>专业化服务。加强农村留守儿童服务体系建设，到2025年</w:t>
      </w:r>
      <w:r>
        <w:rPr>
          <w:rFonts w:hint="eastAsia" w:ascii="仿宋_GB2312" w:hAnsi="仿宋_GB2312" w:eastAsia="仿宋_GB2312" w:cs="仿宋_GB2312"/>
          <w:sz w:val="32"/>
          <w:szCs w:val="22"/>
          <w:highlight w:val="none"/>
        </w:rPr>
        <w:t>村级“儿童之家”覆盖率</w:t>
      </w:r>
      <w:r>
        <w:rPr>
          <w:rFonts w:hint="eastAsia" w:hAnsi="仿宋_GB2312" w:eastAsia="仿宋_GB2312" w:cs="仿宋_GB2312"/>
          <w:sz w:val="32"/>
          <w:szCs w:val="36"/>
          <w:highlight w:val="none"/>
        </w:rPr>
        <w:t>达90%，构建市、县、镇、村四级儿童保障体系，形成责任共担、资源共享、相互支撑的多元发展格局。</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061" w:name="_Toc4277"/>
      <w:bookmarkStart w:id="1062" w:name="_Toc1600"/>
      <w:bookmarkStart w:id="1063" w:name="_Toc30383"/>
      <w:bookmarkStart w:id="1064" w:name="_Toc25846"/>
      <w:bookmarkStart w:id="1065" w:name="_Toc17538"/>
      <w:bookmarkStart w:id="1066" w:name="_Toc4031"/>
      <w:bookmarkStart w:id="1067" w:name="_Toc5578"/>
      <w:bookmarkStart w:id="1068" w:name="_Toc14450"/>
      <w:bookmarkStart w:id="1069" w:name="_Toc5910"/>
      <w:bookmarkStart w:id="1070" w:name="_Toc32576"/>
      <w:bookmarkStart w:id="1071" w:name="_Toc12989"/>
      <w:bookmarkStart w:id="1072" w:name="_Toc60495299"/>
      <w:bookmarkStart w:id="1073" w:name="_Toc54543979"/>
      <w:bookmarkStart w:id="1074" w:name="_Toc13431"/>
      <w:bookmarkStart w:id="1075" w:name="_Toc11396"/>
      <w:bookmarkStart w:id="1076" w:name="_Toc10651"/>
      <w:r>
        <w:rPr>
          <w:rFonts w:hint="eastAsia" w:ascii="黑体" w:hAnsi="黑体" w:eastAsia="黑体" w:cs="黑体"/>
          <w:b w:val="0"/>
          <w:bCs w:val="0"/>
          <w:highlight w:val="none"/>
        </w:rPr>
        <w:t>三、开展美丽圩镇建设</w:t>
      </w:r>
      <w:bookmarkEnd w:id="1061"/>
      <w:bookmarkEnd w:id="1062"/>
      <w:bookmarkEnd w:id="1063"/>
      <w:bookmarkEnd w:id="1064"/>
      <w:bookmarkEnd w:id="1065"/>
      <w:bookmarkEnd w:id="1066"/>
      <w:bookmarkEnd w:id="1067"/>
      <w:bookmarkEnd w:id="1068"/>
    </w:p>
    <w:bookmarkEnd w:id="1069"/>
    <w:bookmarkEnd w:id="1070"/>
    <w:bookmarkEnd w:id="1071"/>
    <w:bookmarkEnd w:id="1072"/>
    <w:bookmarkEnd w:id="1073"/>
    <w:bookmarkEnd w:id="1074"/>
    <w:bookmarkEnd w:id="1075"/>
    <w:bookmarkEnd w:id="1076"/>
    <w:p>
      <w:pPr>
        <w:pStyle w:val="13"/>
        <w:spacing w:before="0" w:beforeLines="0" w:beforeAutospacing="0" w:line="600" w:lineRule="exact"/>
        <w:ind w:firstLine="640" w:firstLineChars="200"/>
        <w:jc w:val="both"/>
        <w:rPr>
          <w:rFonts w:hint="eastAsia" w:hAnsi="仿宋_GB2312" w:eastAsia="仿宋_GB2312" w:cs="仿宋_GB2312"/>
          <w:sz w:val="32"/>
          <w:szCs w:val="36"/>
          <w:highlight w:val="none"/>
        </w:rPr>
      </w:pPr>
      <w:r>
        <w:rPr>
          <w:rFonts w:hint="eastAsia" w:hAnsi="仿宋_GB2312" w:eastAsia="仿宋_GB2312" w:cs="仿宋_GB2312"/>
          <w:sz w:val="32"/>
          <w:szCs w:val="36"/>
          <w:highlight w:val="none"/>
        </w:rPr>
        <w:t>强化规划引领，全面提升圩镇人居环境、基础设施和公共服务水平，提升集聚辐射带动能力，实现镇村同建同治同美。以实施“百墟千村振兴计划”为契机，强化镇村同建，优化市政公用设施建设及公建配套，大力改造提升农贸市场和农产品集散中心，推进镇村物流服务联通，推进镇村公共服务均等化供给，全面提升圩镇公共基础设施、公共服务水平。强化镇村同治，推进圩镇智慧化改造，建立快速反应、高效办事的政务服务平台和整合资源、融合创新的联农带农助农服务平台，把乡镇建设成为服务农民的区域中心。强化镇村同美，开展镇级垃圾转运站提升改造，加强镇级生活污水收集处理设施运维管理，开展圩镇中心主街区沿线建筑立面风貌提升，深入推进圩镇“洁化、绿化、美化”行动，打造环境卫生整洁、产业特色鲜明的圩镇美丽风貌带，全面提升圩镇营商环境和对外形象。开展各类乡镇创建工作，深入开展卫生镇、文明镇、森林小镇、平安乡镇创建活动，启动实施小城镇品质提升行动。2023年底全市省级以上卫生镇比例达80%以上，县级以上文明镇占比100%、市级以上文明镇占比60%以上，建成森林小镇7个，完成21个小城镇（圩镇/街）品质提升工作。2025年底全市省级以上卫生镇比例达100%。</w:t>
      </w:r>
    </w:p>
    <w:p>
      <w:pPr>
        <w:pStyle w:val="13"/>
        <w:spacing w:before="0" w:beforeLines="0" w:beforeAutospacing="0" w:line="600" w:lineRule="exact"/>
        <w:ind w:firstLine="640" w:firstLineChars="200"/>
        <w:jc w:val="both"/>
        <w:rPr>
          <w:rFonts w:eastAsia="方正仿宋_GB2312"/>
          <w:sz w:val="32"/>
          <w:szCs w:val="36"/>
          <w:highlight w:val="none"/>
        </w:rPr>
      </w:pPr>
    </w:p>
    <w:tbl>
      <w:tblPr>
        <w:tblStyle w:val="14"/>
        <w:tblW w:w="0" w:type="auto"/>
        <w:jc w:val="center"/>
        <w:shd w:val="clear" w:color="auto" w:fill="FFFFFF"/>
        <w:tblLayout w:type="fixed"/>
        <w:tblCellMar>
          <w:top w:w="0" w:type="dxa"/>
          <w:left w:w="108" w:type="dxa"/>
          <w:bottom w:w="0" w:type="dxa"/>
          <w:right w:w="108" w:type="dxa"/>
        </w:tblCellMar>
      </w:tblPr>
      <w:tblGrid>
        <w:gridCol w:w="8300"/>
      </w:tblGrid>
      <w:tr>
        <w:tblPrEx>
          <w:shd w:val="clear" w:color="auto" w:fill="FFFFFF"/>
          <w:tblCellMar>
            <w:top w:w="0" w:type="dxa"/>
            <w:left w:w="108" w:type="dxa"/>
            <w:bottom w:w="0" w:type="dxa"/>
            <w:right w:w="108" w:type="dxa"/>
          </w:tblCellMar>
        </w:tblPrEx>
        <w:trPr>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utoSpaceDE w:val="0"/>
              <w:spacing w:before="156" w:beforeLines="50" w:after="156" w:afterLines="50" w:line="360" w:lineRule="exact"/>
              <w:ind w:firstLine="480" w:firstLineChars="200"/>
              <w:jc w:val="center"/>
              <w:rPr>
                <w:rFonts w:ascii="Times New Roman" w:hAnsi="Times New Roman" w:eastAsia="仿宋"/>
                <w:b/>
                <w:bCs/>
                <w:sz w:val="24"/>
                <w:highlight w:val="none"/>
              </w:rPr>
            </w:pPr>
            <w:r>
              <w:rPr>
                <w:rFonts w:hint="eastAsia" w:ascii="黑体" w:hAnsi="黑体" w:eastAsia="黑体" w:cs="黑体"/>
                <w:b w:val="0"/>
                <w:bCs w:val="0"/>
                <w:sz w:val="24"/>
                <w:highlight w:val="none"/>
              </w:rPr>
              <w:t>专栏六  基础设施一体化和公共服务均等化建设</w:t>
            </w:r>
          </w:p>
        </w:tc>
      </w:tr>
      <w:tr>
        <w:tblPrEx>
          <w:shd w:val="clear" w:color="auto" w:fill="FFFFFF"/>
          <w:tblCellMar>
            <w:top w:w="0" w:type="dxa"/>
            <w:left w:w="108" w:type="dxa"/>
            <w:bottom w:w="0" w:type="dxa"/>
            <w:right w:w="108" w:type="dxa"/>
          </w:tblCellMar>
        </w:tblPrEx>
        <w:trPr>
          <w:trHeight w:val="543" w:hRule="atLeast"/>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ind w:firstLine="48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（一）农村公路升级改造工程</w:t>
            </w:r>
          </w:p>
          <w:p>
            <w:pPr>
              <w:spacing w:line="360"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全域推进自然村村内道路建设，2022年实现全市纳入乡村振兴规划建设的自然村内干路路面基本硬化；2023年基本形成有地方特色、切合实际、可操作性较强的村内道路长效管护机制。</w:t>
            </w:r>
          </w:p>
          <w:p>
            <w:pPr>
              <w:spacing w:line="360" w:lineRule="auto"/>
              <w:ind w:firstLine="48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（二）农村供水攻坚行动</w:t>
            </w:r>
          </w:p>
          <w:p>
            <w:pPr>
              <w:spacing w:line="360"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color w:val="auto"/>
                <w:sz w:val="24"/>
                <w:highlight w:val="none"/>
              </w:rPr>
              <w:t>实施农村供水攻坚行动。到2025年，力争实现城乡供水“三同五化”（即同标准、同质量、同服务，规模化发展、标准化建设、一体化管理、专业化运作、智慧化服务）的高质量发展格局，确保农村自来水普及率稳定在99%以上，农村生活饮用水水质合格率稳定在90%以上，水费收缴率稳定在98%以上。</w:t>
            </w:r>
          </w:p>
          <w:p>
            <w:pPr>
              <w:spacing w:line="360" w:lineRule="auto"/>
              <w:ind w:firstLine="48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（三）农村电网升级改造工程</w:t>
            </w:r>
          </w:p>
          <w:p>
            <w:pPr>
              <w:spacing w:line="360"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推进城乡供电服务均等化，提升农村供电可靠率、综合电压合格率、户均配变容量等关键性指标，建设结构合理、技术先进、供电可靠、节能高效的供电网络，确保高峰供电稳定，逐步实现城乡电力服务一体化。“十四五”期间，完成农村地区“低电压”问题整改。</w:t>
            </w:r>
          </w:p>
          <w:p>
            <w:pPr>
              <w:spacing w:line="360" w:lineRule="auto"/>
              <w:ind w:firstLine="48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（四）数字乡村建设行动</w:t>
            </w:r>
          </w:p>
          <w:p>
            <w:pPr>
              <w:spacing w:line="360"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加快农村宽带通信网、移动互联网、数字电视网和下一代互联网发展的互联互通和业务渗透融合，大幅提升乡村网络设施水平。全面完成益农信息社建设工作。推动5G智慧农业试验区建设。至2025年底，20户以上自然村光网实现深度覆盖，5G网络实现农村重点区域普遍覆盖，乡村产业数字信息化得到应用，城乡“数字鸿沟”明显缩小。</w:t>
            </w:r>
          </w:p>
          <w:p>
            <w:pPr>
              <w:spacing w:line="360" w:lineRule="auto"/>
              <w:ind w:firstLine="48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（五）乡村教师支持计划</w:t>
            </w:r>
          </w:p>
          <w:p>
            <w:pPr>
              <w:spacing w:line="360"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建设乡村教师教育基地，精准补充乡村学校紧缺学科教师，统筹配置城乡教师资源，提高乡村教师待遇保障水平，全面落实山区和农村边远地区教师生活补助政策，稳定乡村教师队伍。</w:t>
            </w:r>
          </w:p>
          <w:p>
            <w:pPr>
              <w:spacing w:line="360" w:lineRule="auto"/>
              <w:ind w:firstLine="480"/>
              <w:rPr>
                <w:rFonts w:hint="eastAsia" w:ascii="仿宋_GB2312" w:hAnsi="仿宋_GB2312" w:eastAsia="仿宋_GB2312" w:cs="仿宋_GB2312"/>
                <w:b/>
                <w:bCs/>
                <w:sz w:val="32"/>
                <w:szCs w:val="36"/>
                <w:highlight w:val="none"/>
              </w:rPr>
            </w:pPr>
            <w:r>
              <w:rPr>
                <w:rFonts w:hint="eastAsia" w:ascii="仿宋_GB2312" w:hAnsi="仿宋_GB2312" w:eastAsia="仿宋_GB2312" w:cs="仿宋_GB2312"/>
                <w:b/>
                <w:bCs/>
                <w:sz w:val="24"/>
                <w:highlight w:val="none"/>
              </w:rPr>
              <w:t>（六）农村公共卫生体系建设工程</w:t>
            </w:r>
          </w:p>
          <w:p>
            <w:pPr>
              <w:spacing w:line="360"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健全县镇村三级疾病预防控制网络。加强重点传染病监测研判，强化新冠肺炎等突发急性传染病防控。逐步健全“县级公立医院-镇卫生院-村卫生站”三级梯次的紧密型医共体和医联体。支持乡村卫生院改造升级，推进“一镇一院”标准化和“一村一站”规范化建设工程。结合好心文化、潘茂名文化和村内卫生站，建设一批具有本地特色的潘茂名中医馆。加强乡村医生向执业助理医师转变，加大县镇医院医生巡诊频次，提升乡村医生医疗服务能力，提升基层卫生服务水平和质量。至2025年，全面建成覆盖全民、城乡统筹、权责清晰、保障适度、更可持续的多层次医疗保障体系。</w:t>
            </w:r>
          </w:p>
          <w:p>
            <w:pPr>
              <w:spacing w:line="360" w:lineRule="auto"/>
              <w:ind w:firstLine="48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（七）养老服务水平提升工程</w:t>
            </w:r>
          </w:p>
          <w:p>
            <w:pPr>
              <w:spacing w:line="360" w:lineRule="auto"/>
              <w:ind w:firstLine="48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加快养老服务体系建设，形成以居家为基础、社区为依托、机构为补充、医养相结合的多层次养老保障格局。加快推进农村养老服务设施转型升级，支持农村老年养护院、医养结合设施、农村幸福院等养老服务设施建设，鼓励企业、集体和个人投入农村康养产业开发项目。各级政府用于社会福利事业的彩票公益金按不低于50%的比例用于养老服务体系建设。</w:t>
            </w:r>
          </w:p>
          <w:p>
            <w:pPr>
              <w:spacing w:line="360" w:lineRule="auto"/>
              <w:ind w:firstLine="48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（八）美丽圩镇建设工程</w:t>
            </w:r>
          </w:p>
          <w:p>
            <w:pPr>
              <w:spacing w:line="360" w:lineRule="auto"/>
              <w:ind w:firstLine="480"/>
              <w:rPr>
                <w:rFonts w:ascii="Times New Roman" w:hAnsi="Times New Roman" w:eastAsia="仿宋"/>
                <w:sz w:val="24"/>
                <w:highlight w:val="none"/>
              </w:rPr>
            </w:pPr>
            <w:r>
              <w:rPr>
                <w:rFonts w:hint="eastAsia" w:ascii="仿宋_GB2312" w:hAnsi="仿宋_GB2312" w:eastAsia="仿宋_GB2312" w:cs="仿宋_GB2312"/>
                <w:sz w:val="24"/>
                <w:highlight w:val="none"/>
              </w:rPr>
              <w:t>开展各类乡镇创建工作，启动实施小城镇品质提升行动。2023年底全市省级以上卫生镇比例达80%以上，县级以上文明镇占比100%、市级以上文明镇占比60%以上，建成森林小镇7个，完成21个小城镇（圩镇/街）品质提升工作。2025年底全市省级以上卫生镇比例达100%。</w:t>
            </w:r>
          </w:p>
        </w:tc>
      </w:tr>
    </w:tbl>
    <w:p>
      <w:pPr>
        <w:pStyle w:val="2"/>
        <w:ind w:left="0" w:leftChars="0" w:firstLine="0" w:firstLineChars="0"/>
        <w:rPr>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1077" w:name="_Toc1431"/>
      <w:bookmarkStart w:id="1078" w:name="_Toc26922"/>
      <w:bookmarkStart w:id="1079" w:name="_Toc20693"/>
      <w:bookmarkStart w:id="1080" w:name="_Toc15635"/>
      <w:bookmarkStart w:id="1081" w:name="_Toc23889"/>
      <w:bookmarkStart w:id="1082" w:name="_Toc13711"/>
      <w:bookmarkStart w:id="1083" w:name="_Toc414"/>
      <w:bookmarkStart w:id="1084" w:name="_Toc27090"/>
      <w:bookmarkStart w:id="1085" w:name="_Toc13742"/>
      <w:bookmarkStart w:id="1086" w:name="_Toc11643"/>
      <w:bookmarkStart w:id="1087" w:name="_Toc32436"/>
      <w:bookmarkStart w:id="1088" w:name="_Toc2564"/>
      <w:bookmarkStart w:id="1089" w:name="_Toc27866"/>
      <w:bookmarkStart w:id="1090" w:name="_Toc31621"/>
      <w:r>
        <w:rPr>
          <w:rFonts w:ascii="Times New Roman" w:hAnsi="Times New Roman" w:eastAsia="黑体"/>
          <w:b w:val="0"/>
          <w:bCs w:val="0"/>
          <w:sz w:val="32"/>
          <w:highlight w:val="none"/>
        </w:rPr>
        <w:t>第四节  修复保护农业农村生态环境</w:t>
      </w:r>
      <w:bookmarkEnd w:id="1030"/>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pPr>
        <w:spacing w:line="600" w:lineRule="exact"/>
        <w:ind w:firstLine="600"/>
        <w:rPr>
          <w:rFonts w:hint="eastAsia" w:hAnsi="仿宋_GB2312" w:eastAsia="仿宋_GB2312" w:cs="仿宋_GB2312"/>
          <w:kern w:val="0"/>
          <w:sz w:val="32"/>
          <w:szCs w:val="22"/>
          <w:highlight w:val="none"/>
        </w:rPr>
      </w:pPr>
      <w:bookmarkStart w:id="1091" w:name="_Toc54543981"/>
      <w:bookmarkStart w:id="1092" w:name="_Toc28034"/>
      <w:r>
        <w:rPr>
          <w:rFonts w:hint="eastAsia" w:hAnsi="仿宋_GB2312" w:eastAsia="仿宋_GB2312" w:cs="仿宋_GB2312"/>
          <w:kern w:val="0"/>
          <w:sz w:val="32"/>
          <w:szCs w:val="22"/>
          <w:highlight w:val="none"/>
        </w:rPr>
        <w:t>促进人与自然和谐共生，修复保护农村生态环境，以林带绿道、蓝色海岸带、万里碧道建设为重点，系统开展山水林田湖草治理，全面提升农村生态文明建设水平。</w:t>
      </w:r>
      <w:bookmarkEnd w:id="1091"/>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093" w:name="_Toc24137"/>
      <w:bookmarkStart w:id="1094" w:name="_Toc32723"/>
      <w:bookmarkStart w:id="1095" w:name="_Toc17482"/>
      <w:bookmarkStart w:id="1096" w:name="_Toc23355"/>
      <w:bookmarkStart w:id="1097" w:name="_Toc11470"/>
      <w:bookmarkStart w:id="1098" w:name="_Toc28662"/>
      <w:bookmarkStart w:id="1099" w:name="_Toc12572"/>
      <w:bookmarkStart w:id="1100" w:name="_Toc27731"/>
      <w:bookmarkStart w:id="1101" w:name="_Toc18171"/>
      <w:bookmarkStart w:id="1102" w:name="_Toc26361"/>
      <w:bookmarkStart w:id="1103" w:name="_Toc25249"/>
      <w:bookmarkStart w:id="1104" w:name="_Toc8718"/>
      <w:bookmarkStart w:id="1105" w:name="_Toc9385"/>
      <w:bookmarkStart w:id="1106" w:name="_Toc19613"/>
      <w:r>
        <w:rPr>
          <w:rFonts w:hint="eastAsia" w:ascii="黑体" w:hAnsi="黑体" w:eastAsia="黑体" w:cs="黑体"/>
          <w:b w:val="0"/>
          <w:bCs w:val="0"/>
          <w:highlight w:val="none"/>
        </w:rPr>
        <w:t>一、加强农村生态保护</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7"/>
        <w:spacing w:after="0" w:afterLines="0" w:line="600" w:lineRule="exact"/>
        <w:ind w:firstLine="640" w:firstLineChars="200"/>
        <w:rPr>
          <w:rFonts w:eastAsia="仿宋"/>
          <w:sz w:val="32"/>
          <w:szCs w:val="32"/>
          <w:highlight w:val="none"/>
          <w:lang w:val="zh-CN"/>
        </w:rPr>
      </w:pPr>
      <w:r>
        <w:rPr>
          <w:rFonts w:hint="eastAsia" w:hAnsi="仿宋_GB2312" w:eastAsia="仿宋_GB2312" w:cs="仿宋_GB2312"/>
          <w:sz w:val="32"/>
          <w:szCs w:val="32"/>
          <w:highlight w:val="none"/>
          <w:lang w:val="zh-CN"/>
        </w:rPr>
        <w:t>严格保护农村自然生态系统、山水林田湖草、重要水源涵养区、自然湿地和野生动植物资源，促进乡村生产生活环境稳步改善，自然生态系统功能和稳定性全面提升，生态产品供给能力进一步增强，</w:t>
      </w:r>
      <w:r>
        <w:rPr>
          <w:rFonts w:hint="eastAsia" w:hAnsi="仿宋_GB2312" w:eastAsia="仿宋_GB2312" w:cs="仿宋_GB2312"/>
          <w:sz w:val="32"/>
          <w:szCs w:val="32"/>
          <w:highlight w:val="none"/>
        </w:rPr>
        <w:t>提升农业农村的生态价值、休闲价值和文化价值。优化农业产业布局，逐步建立起农业生产力与资源环境承载力相匹配的农业发展新格局。加强生态循环农业建设，着力推进农业资源利用节约化、生产过程清洁化、产业链条生态化、废弃物利用资源化。</w:t>
      </w:r>
      <w:r>
        <w:rPr>
          <w:rFonts w:hint="eastAsia" w:hAnsi="仿宋_GB2312" w:eastAsia="仿宋_GB2312" w:cs="仿宋_GB2312"/>
          <w:sz w:val="32"/>
          <w:szCs w:val="32"/>
          <w:highlight w:val="none"/>
          <w:lang w:val="zh-CN"/>
        </w:rPr>
        <w:t>加强生态红线区域管控，严格保护重要水源、湿地、森林等自然生态资源，以森林生态、农田生态、水生生态为重点，促进生态系统休养生息。</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107" w:name="_Toc18298"/>
      <w:bookmarkStart w:id="1108" w:name="_Toc9759"/>
      <w:bookmarkStart w:id="1109" w:name="_Toc12935"/>
      <w:bookmarkStart w:id="1110" w:name="_Toc7074"/>
      <w:bookmarkStart w:id="1111" w:name="_Toc5801"/>
      <w:bookmarkStart w:id="1112" w:name="_Toc24009"/>
      <w:bookmarkStart w:id="1113" w:name="_Toc2650"/>
      <w:bookmarkStart w:id="1114" w:name="_Toc19933"/>
      <w:bookmarkStart w:id="1115" w:name="_Toc16978"/>
      <w:bookmarkStart w:id="1116" w:name="_Toc29206"/>
      <w:bookmarkStart w:id="1117" w:name="_Toc22825"/>
      <w:bookmarkStart w:id="1118" w:name="_Toc30790"/>
      <w:bookmarkStart w:id="1119" w:name="_Toc21806"/>
      <w:bookmarkStart w:id="1120" w:name="_Toc10070"/>
      <w:bookmarkStart w:id="1121" w:name="_Toc24097"/>
      <w:r>
        <w:rPr>
          <w:rFonts w:hint="eastAsia" w:ascii="黑体" w:hAnsi="黑体" w:eastAsia="黑体" w:cs="黑体"/>
          <w:b w:val="0"/>
          <w:bCs w:val="0"/>
          <w:highlight w:val="none"/>
        </w:rPr>
        <w:t>二、逐步修复农业农村生态环境</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7"/>
        <w:spacing w:after="0" w:afterLines="0" w:line="600" w:lineRule="exact"/>
        <w:ind w:firstLine="640" w:firstLineChars="200"/>
        <w:rPr>
          <w:rFonts w:hint="eastAsia" w:hAnsi="仿宋_GB2312" w:eastAsia="仿宋_GB2312" w:cs="仿宋_GB2312"/>
          <w:sz w:val="32"/>
          <w:szCs w:val="32"/>
          <w:highlight w:val="none"/>
          <w:lang w:val="zh-CN"/>
        </w:rPr>
      </w:pPr>
      <w:r>
        <w:rPr>
          <w:rFonts w:hint="eastAsia" w:hAnsi="仿宋_GB2312" w:eastAsia="仿宋_GB2312" w:cs="仿宋_GB2312"/>
          <w:sz w:val="32"/>
          <w:szCs w:val="32"/>
          <w:highlight w:val="none"/>
        </w:rPr>
        <w:t>贯彻落实习近平生态文明思想，</w:t>
      </w:r>
      <w:r>
        <w:rPr>
          <w:rFonts w:hint="eastAsia" w:hAnsi="仿宋_GB2312" w:eastAsia="仿宋_GB2312" w:cs="仿宋_GB2312"/>
          <w:sz w:val="32"/>
          <w:szCs w:val="32"/>
          <w:highlight w:val="none"/>
          <w:lang w:val="zh-CN"/>
        </w:rPr>
        <w:t>修复完善农田林网、河流沟渠、围村片林、湖泊水库、滨海等生态廊道，提高田园生态系统内部关联性。加强农业生态环境治理，统筹考虑种养规模和环境消纳能力，扶持发展种养结合、种地养地结合、林下立体经营等生态循环农业，修复农业生态和恢复生物多样性。开展绿色家园、绿美乡村建设活动，充分挖掘造林绿化潜力，提升村庄绿化美化建设水平。推进茂名市碧道建设，</w:t>
      </w:r>
      <w:r>
        <w:rPr>
          <w:rFonts w:hint="eastAsia" w:hAnsi="仿宋_GB2312" w:eastAsia="仿宋_GB2312" w:cs="仿宋_GB2312"/>
          <w:sz w:val="32"/>
          <w:szCs w:val="32"/>
          <w:highlight w:val="none"/>
        </w:rPr>
        <w:t>从山、水、林、田、湖、</w:t>
      </w:r>
      <w:r>
        <w:rPr>
          <w:rFonts w:hint="eastAsia" w:hAnsi="仿宋_GB2312" w:eastAsia="仿宋_GB2312" w:cs="仿宋_GB2312"/>
          <w:sz w:val="32"/>
          <w:szCs w:val="32"/>
          <w:highlight w:val="none"/>
          <w:lang w:eastAsia="zh-CN"/>
        </w:rPr>
        <w:t>草</w:t>
      </w:r>
      <w:r>
        <w:rPr>
          <w:rFonts w:hint="eastAsia" w:hAnsi="仿宋_GB2312" w:eastAsia="仿宋_GB2312" w:cs="仿宋_GB2312"/>
          <w:sz w:val="32"/>
          <w:szCs w:val="32"/>
          <w:highlight w:val="none"/>
        </w:rPr>
        <w:t>全方位入手，解决水生态环境治理重点问题</w:t>
      </w:r>
      <w:r>
        <w:rPr>
          <w:rFonts w:hint="eastAsia" w:hAnsi="仿宋_GB2312" w:eastAsia="仿宋_GB2312" w:cs="仿宋_GB2312"/>
          <w:sz w:val="32"/>
          <w:szCs w:val="32"/>
          <w:highlight w:val="none"/>
          <w:lang w:val="zh-CN"/>
        </w:rPr>
        <w:t>。统筹建立健全山水林田湖草等生态环境监测网络和耕地质量等农业资源监测网络，定期发布监测结果，建立</w:t>
      </w:r>
      <w:r>
        <w:rPr>
          <w:rFonts w:hint="eastAsia" w:hAnsi="仿宋_GB2312" w:eastAsia="仿宋_GB2312" w:cs="仿宋_GB2312"/>
          <w:sz w:val="32"/>
          <w:szCs w:val="32"/>
          <w:highlight w:val="none"/>
          <w:lang w:val="zh-CN" w:eastAsia="zh-Hans"/>
        </w:rPr>
        <w:t>应急预案机制</w:t>
      </w:r>
      <w:r>
        <w:rPr>
          <w:rFonts w:hint="eastAsia" w:hAnsi="仿宋_GB2312" w:eastAsia="仿宋_GB2312" w:cs="仿宋_GB2312"/>
          <w:sz w:val="32"/>
          <w:szCs w:val="32"/>
          <w:highlight w:val="none"/>
          <w:lang w:val="zh-CN"/>
        </w:rPr>
        <w:t>。</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122" w:name="_Toc19305"/>
      <w:bookmarkStart w:id="1123" w:name="_Toc15482"/>
      <w:bookmarkStart w:id="1124" w:name="_Toc2459"/>
      <w:bookmarkStart w:id="1125" w:name="_Toc7869"/>
      <w:bookmarkStart w:id="1126" w:name="_Toc15291"/>
      <w:bookmarkStart w:id="1127" w:name="_Toc25521"/>
      <w:bookmarkStart w:id="1128" w:name="_Toc8774"/>
      <w:bookmarkStart w:id="1129" w:name="_Toc22702"/>
      <w:bookmarkStart w:id="1130" w:name="_Toc2706"/>
      <w:bookmarkStart w:id="1131" w:name="_Toc20929"/>
      <w:bookmarkStart w:id="1132" w:name="_Toc23038"/>
      <w:bookmarkStart w:id="1133" w:name="_Toc16074"/>
      <w:bookmarkStart w:id="1134" w:name="_Toc17929"/>
      <w:bookmarkStart w:id="1135" w:name="_Toc30412"/>
      <w:bookmarkStart w:id="1136" w:name="_Toc990"/>
      <w:r>
        <w:rPr>
          <w:rFonts w:hint="eastAsia" w:ascii="黑体" w:hAnsi="黑体" w:eastAsia="黑体" w:cs="黑体"/>
          <w:b w:val="0"/>
          <w:bCs w:val="0"/>
          <w:highlight w:val="none"/>
        </w:rPr>
        <w:t>三、保护与修复海湾海岸带</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spacing w:line="600" w:lineRule="exact"/>
        <w:ind w:firstLine="6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加大珊瑚礁、红树林、海草床等滨海湿地和河口、海湾典型生态系统，以及产卵场、索饵场、越冬场、洄游通道等重要渔业水域保护力度，遏制近海及海岸生态环境恶化和海洋生物资源衰退。建设人工鱼礁，开展增殖放流行动，控减近海养殖密度，强化海水养殖污染防控，严格落实禁渔休渔措施。</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137" w:name="_Toc11448"/>
      <w:bookmarkStart w:id="1138" w:name="_Toc17638"/>
      <w:bookmarkStart w:id="1139" w:name="_Toc23416"/>
      <w:bookmarkStart w:id="1140" w:name="_Toc761"/>
      <w:bookmarkStart w:id="1141" w:name="_Toc21300"/>
      <w:bookmarkStart w:id="1142" w:name="_Toc22502"/>
      <w:bookmarkStart w:id="1143" w:name="_Toc16872"/>
      <w:bookmarkStart w:id="1144" w:name="_Toc7982"/>
      <w:bookmarkStart w:id="1145" w:name="_Toc3044"/>
      <w:bookmarkStart w:id="1146" w:name="_Toc27357"/>
      <w:bookmarkStart w:id="1147" w:name="_Toc25136"/>
      <w:bookmarkStart w:id="1148" w:name="_Toc19504"/>
      <w:bookmarkStart w:id="1149" w:name="_Toc13598"/>
      <w:bookmarkStart w:id="1150" w:name="_Toc2096"/>
      <w:r>
        <w:rPr>
          <w:rFonts w:hint="eastAsia" w:ascii="黑体" w:hAnsi="黑体" w:eastAsia="黑体" w:cs="黑体"/>
          <w:b w:val="0"/>
          <w:bCs w:val="0"/>
          <w:highlight w:val="none"/>
        </w:rPr>
        <w:t>四、健全生态保护、环境治理的长效机制</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7"/>
        <w:spacing w:after="0" w:afterLines="0" w:line="600" w:lineRule="exact"/>
        <w:ind w:firstLine="640" w:firstLineChars="200"/>
        <w:rPr>
          <w:rFonts w:hint="eastAsia" w:hAnsi="仿宋_GB2312" w:cs="仿宋_GB2312"/>
          <w:highlight w:val="none"/>
          <w:lang w:val="zh-CN"/>
        </w:rPr>
      </w:pPr>
      <w:r>
        <w:rPr>
          <w:rFonts w:hint="eastAsia" w:hAnsi="仿宋_GB2312" w:eastAsia="仿宋_GB2312" w:cs="仿宋_GB2312"/>
          <w:sz w:val="32"/>
          <w:szCs w:val="32"/>
          <w:highlight w:val="none"/>
        </w:rPr>
        <w:t>完善天然林保护制度，将所有天然林纳入保护范围，在全面停止天然林商业性采伐的基础上，进一步细化天然公益林、天然商品林等各类林地的管控措施或经营制度。全面落实河长制、湖长制，</w:t>
      </w:r>
      <w:r>
        <w:rPr>
          <w:rFonts w:hint="eastAsia" w:ascii="仿宋_GB2312" w:hAnsi="仿宋_GB2312" w:eastAsia="仿宋_GB2312" w:cs="仿宋_GB2312"/>
          <w:sz w:val="32"/>
          <w:szCs w:val="32"/>
          <w:highlight w:val="none"/>
        </w:rPr>
        <w:t>全面建立实施</w:t>
      </w:r>
      <w:r>
        <w:rPr>
          <w:rFonts w:hint="eastAsia" w:hAnsi="仿宋_GB2312" w:eastAsia="仿宋_GB2312" w:cs="仿宋_GB2312"/>
          <w:sz w:val="32"/>
          <w:szCs w:val="32"/>
          <w:highlight w:val="none"/>
        </w:rPr>
        <w:t>湾长制，</w:t>
      </w:r>
      <w:r>
        <w:rPr>
          <w:rFonts w:hint="eastAsia" w:ascii="仿宋_GB2312" w:hAnsi="仿宋_GB2312" w:eastAsia="仿宋_GB2312" w:cs="仿宋_GB2312"/>
          <w:sz w:val="32"/>
          <w:szCs w:val="32"/>
          <w:highlight w:val="none"/>
        </w:rPr>
        <w:t>落实市县镇村四级林长制，</w:t>
      </w:r>
      <w:r>
        <w:rPr>
          <w:rFonts w:hint="eastAsia" w:hAnsi="仿宋_GB2312" w:eastAsia="仿宋_GB2312" w:cs="仿宋_GB2312"/>
          <w:sz w:val="32"/>
          <w:szCs w:val="32"/>
          <w:highlight w:val="none"/>
        </w:rPr>
        <w:t>探索推进港长制。落实农业功能区制度，加大对信宜等重点生态功能区的转移支付力度，完善生态保护成效与资金分配挂钩的激励约束机制。推进乡镇集中式饮用水水源保护区规范化建设和管理，加强对水源涵养区、蓄洪滞涝区、滨河滨湖滨海带的保护。通过地面台站、卫星遥感、无人机等技术手段，建立天地一体的生态环境监测网络体系，实现对全市范围内森林、草原、河流、湖泊、湿地、生物多样性、水土流失等自然生态系统的科学管理与风险预警和防控。加强对水源涵养区、蓄洪滞涝区、滨河滨湖滨海带的保护。完善人工增雨常态化作业机制，提升生态修复服务能力。以政府投资为主导，通过政府与社会资本合作的模式，鼓励和吸引社会资本积极参与农村生态保护与建设。加强农业农村环境保护宣传教育与技术推广，提高农民参与农业农村生态环境保护的意识与能力。</w:t>
      </w:r>
    </w:p>
    <w:p>
      <w:pPr>
        <w:pStyle w:val="5"/>
        <w:spacing w:before="0" w:beforeLines="0" w:after="0" w:afterLines="0" w:line="600" w:lineRule="exact"/>
        <w:jc w:val="center"/>
        <w:rPr>
          <w:rFonts w:ascii="Times New Roman" w:hAnsi="Times New Roman" w:eastAsia="黑体"/>
          <w:b w:val="0"/>
          <w:bCs w:val="0"/>
          <w:sz w:val="32"/>
          <w:highlight w:val="none"/>
        </w:rPr>
      </w:pPr>
      <w:bookmarkStart w:id="1151" w:name="_Toc28577"/>
      <w:bookmarkStart w:id="1152" w:name="_Toc26857"/>
      <w:bookmarkStart w:id="1153" w:name="_Toc22751"/>
      <w:bookmarkStart w:id="1154" w:name="_Toc8789"/>
      <w:bookmarkStart w:id="1155" w:name="_Toc30121"/>
      <w:bookmarkStart w:id="1156" w:name="_Toc19608"/>
      <w:bookmarkStart w:id="1157" w:name="_Toc13896"/>
      <w:bookmarkStart w:id="1158" w:name="_Toc24573"/>
      <w:bookmarkStart w:id="1159" w:name="_Toc28675"/>
      <w:bookmarkStart w:id="1160" w:name="_Toc23809"/>
      <w:bookmarkStart w:id="1161" w:name="_Toc17211"/>
      <w:bookmarkStart w:id="1162" w:name="_Toc2845"/>
      <w:bookmarkStart w:id="1163" w:name="_Toc22891"/>
      <w:bookmarkStart w:id="1164" w:name="_Toc2380"/>
      <w:bookmarkStart w:id="1165" w:name="_Toc26947"/>
      <w:r>
        <w:rPr>
          <w:rFonts w:ascii="Times New Roman" w:hAnsi="Times New Roman" w:eastAsia="黑体"/>
          <w:b w:val="0"/>
          <w:bCs w:val="0"/>
          <w:sz w:val="32"/>
          <w:highlight w:val="none"/>
        </w:rPr>
        <w:t>第五节  创新提升乡村治理体系</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7"/>
        <w:spacing w:after="0" w:afterLines="0" w:line="600" w:lineRule="exact"/>
        <w:ind w:firstLine="640" w:firstLineChars="200"/>
        <w:rPr>
          <w:rFonts w:hint="eastAsia" w:hAnsi="仿宋_GB2312" w:eastAsia="仿宋_GB2312" w:cs="仿宋_GB2312"/>
          <w:sz w:val="32"/>
          <w:szCs w:val="32"/>
          <w:highlight w:val="none"/>
        </w:rPr>
      </w:pPr>
      <w:r>
        <w:rPr>
          <w:rFonts w:hint="eastAsia" w:hAnsi="仿宋_GB2312" w:eastAsia="仿宋_GB2312" w:cs="仿宋_GB2312"/>
          <w:kern w:val="0"/>
          <w:sz w:val="32"/>
          <w:szCs w:val="22"/>
          <w:highlight w:val="none"/>
        </w:rPr>
        <w:t>坚持走乡村善治之路，健全党组织领导的自治、法治、德治相结合的乡村治理体系，构建共建共治共享的社会治理格局，建设充满活力、和谐有序的乡村社会</w:t>
      </w:r>
      <w:r>
        <w:rPr>
          <w:rFonts w:hint="eastAsia" w:hAnsi="仿宋_GB2312" w:eastAsia="仿宋_GB2312" w:cs="仿宋_GB2312"/>
          <w:sz w:val="32"/>
          <w:szCs w:val="32"/>
          <w:highlight w:val="none"/>
        </w:rPr>
        <w:t>，不断增强广大农民的获得感、幸福感、安全感。</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166" w:name="_Toc29730"/>
      <w:bookmarkStart w:id="1167" w:name="_Toc24110"/>
      <w:bookmarkStart w:id="1168" w:name="_Toc20026"/>
      <w:bookmarkStart w:id="1169" w:name="_Toc30326"/>
      <w:bookmarkStart w:id="1170" w:name="_Toc4766"/>
      <w:bookmarkStart w:id="1171" w:name="_Toc32546"/>
      <w:bookmarkStart w:id="1172" w:name="_Toc18283"/>
      <w:bookmarkStart w:id="1173" w:name="_Toc426"/>
      <w:bookmarkStart w:id="1174" w:name="_Toc17305"/>
      <w:bookmarkStart w:id="1175" w:name="_Toc3586"/>
      <w:bookmarkStart w:id="1176" w:name="_Toc15551"/>
      <w:bookmarkStart w:id="1177" w:name="_Toc13522"/>
      <w:bookmarkStart w:id="1178" w:name="_Toc72"/>
      <w:bookmarkStart w:id="1179" w:name="_Toc24385"/>
      <w:bookmarkStart w:id="1180" w:name="_Toc20576"/>
      <w:r>
        <w:rPr>
          <w:rFonts w:hint="eastAsia" w:ascii="黑体" w:hAnsi="黑体" w:eastAsia="黑体" w:cs="黑体"/>
          <w:b w:val="0"/>
          <w:bCs w:val="0"/>
          <w:highlight w:val="none"/>
        </w:rPr>
        <w:t>一、</w:t>
      </w:r>
      <w:r>
        <w:rPr>
          <w:rFonts w:hint="eastAsia" w:ascii="黑体" w:hAnsi="黑体" w:eastAsia="黑体" w:cs="黑体"/>
          <w:b w:val="0"/>
          <w:bCs w:val="0"/>
          <w:highlight w:val="none"/>
          <w:lang w:val="en-US" w:eastAsia="zh-CN"/>
        </w:rPr>
        <w:t>提升</w:t>
      </w:r>
      <w:r>
        <w:rPr>
          <w:rFonts w:hint="eastAsia" w:ascii="黑体" w:hAnsi="黑体" w:eastAsia="黑体" w:cs="黑体"/>
          <w:b w:val="0"/>
          <w:bCs w:val="0"/>
          <w:highlight w:val="none"/>
        </w:rPr>
        <w:t>党建引领乡村治理</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r>
        <w:rPr>
          <w:rFonts w:hint="eastAsia" w:ascii="黑体" w:hAnsi="黑体" w:eastAsia="黑体" w:cs="黑体"/>
          <w:b w:val="0"/>
          <w:bCs w:val="0"/>
          <w:highlight w:val="none"/>
          <w:lang w:val="en-US" w:eastAsia="zh-CN"/>
        </w:rPr>
        <w:t>水平</w:t>
      </w:r>
    </w:p>
    <w:p>
      <w:pPr>
        <w:pStyle w:val="7"/>
        <w:spacing w:after="0" w:afterLines="0" w:line="600" w:lineRule="exact"/>
        <w:ind w:firstLine="64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全面加强村党组织建设。</w:t>
      </w:r>
      <w:r>
        <w:rPr>
          <w:rFonts w:hint="eastAsia" w:hAnsi="仿宋_GB2312" w:eastAsia="仿宋_GB2312" w:cs="仿宋_GB2312"/>
          <w:kern w:val="0"/>
          <w:sz w:val="32"/>
          <w:szCs w:val="22"/>
          <w:highlight w:val="none"/>
        </w:rPr>
        <w:t>优化农村基层党组织设置，符合条件的村党支部升级为党总支或党委，符合条件的村民小组、农民合作社等设立党支部或联合党支部，打造一批党建联盟和党建联合体。实行农村基层党建工作标准化建设。强化村党组织领导核心地位，建立村级小微权力清单，实行村级组织向党组织报告制度，确保农村党组织对各类基层组织的全面领导。深入实施村党组织书记“头雁”工程，选优配强乡村振兴带头人。坚持选人用人标准、严格审核把关，选派最优秀的、最适合的第一书记到基层一线开展乡村振兴工作。按照“一村一策”要求，持续整顿软弱涣散党组织，以区（市）为单位建立工作台账，通过落实领导包靠、第一书记帮扶、乡村振兴驻镇帮镇扶村工作队助力等举措，实</w:t>
      </w:r>
      <w:r>
        <w:rPr>
          <w:rFonts w:hint="eastAsia" w:ascii="仿宋_GB2312" w:hAnsi="仿宋_GB2312" w:eastAsia="仿宋_GB2312" w:cs="仿宋_GB2312"/>
          <w:kern w:val="0"/>
          <w:sz w:val="32"/>
          <w:szCs w:val="22"/>
          <w:highlight w:val="none"/>
        </w:rPr>
        <w:t>现“挂图作战、一个不落，标本兼治、筑牢根基”。实施“人才下乡、干部返乡、能人回乡”计划，推动优质智力资源向基层倾斜延伸。实施党员</w:t>
      </w:r>
      <w:r>
        <w:rPr>
          <w:rFonts w:hint="eastAsia" w:hAnsi="仿宋_GB2312" w:eastAsia="仿宋_GB2312" w:cs="仿宋_GB2312"/>
          <w:kern w:val="0"/>
          <w:sz w:val="32"/>
          <w:szCs w:val="22"/>
          <w:highlight w:val="none"/>
        </w:rPr>
        <w:t>先锋工程，注重从青年农民、退役军人、农村外出务工经商人员中发展党员，把先进分子和优秀人才吸收进来、组织起来。广泛开展党员联系户、党员家庭挂牌、无职党员设岗定责活动，开展亮身份亮职责亮承诺，推动农村党员在乡村振兴中作表率。深</w:t>
      </w:r>
      <w:r>
        <w:rPr>
          <w:rFonts w:hint="eastAsia" w:ascii="仿宋_GB2312" w:hAnsi="仿宋_GB2312" w:eastAsia="仿宋_GB2312" w:cs="仿宋_GB2312"/>
          <w:kern w:val="0"/>
          <w:sz w:val="32"/>
          <w:szCs w:val="22"/>
          <w:highlight w:val="none"/>
        </w:rPr>
        <w:t>化“村到组、组到户、户到人”三级</w:t>
      </w:r>
      <w:r>
        <w:rPr>
          <w:rFonts w:hint="eastAsia" w:hAnsi="仿宋_GB2312" w:eastAsia="仿宋_GB2312" w:cs="仿宋_GB2312"/>
          <w:kern w:val="0"/>
          <w:sz w:val="32"/>
          <w:szCs w:val="22"/>
          <w:highlight w:val="none"/>
        </w:rPr>
        <w:t>党建网格联系服务群众机制，建立网格员工作清单制，发挥网格员在安全生产、食品监督、河湖长制、农村违建、殡葬改革、疫情防控等方面的哨兵作用。</w:t>
      </w:r>
    </w:p>
    <w:p>
      <w:pPr>
        <w:pStyle w:val="7"/>
        <w:spacing w:after="0" w:afterLines="0" w:line="600" w:lineRule="exact"/>
        <w:ind w:firstLine="643"/>
        <w:rPr>
          <w:rFonts w:hint="eastAsia" w:hAnsi="仿宋_GB2312" w:eastAsia="仿宋_GB2312" w:cs="仿宋_GB2312"/>
          <w:kern w:val="0"/>
          <w:sz w:val="32"/>
          <w:szCs w:val="22"/>
          <w:highlight w:val="none"/>
        </w:rPr>
      </w:pPr>
      <w:r>
        <w:rPr>
          <w:rFonts w:hint="eastAsia" w:hAnsi="仿宋_GB2312" w:eastAsia="仿宋_GB2312" w:cs="仿宋_GB2312"/>
          <w:b/>
          <w:bCs/>
          <w:sz w:val="32"/>
          <w:szCs w:val="32"/>
          <w:highlight w:val="none"/>
        </w:rPr>
        <w:t>完善乡村自治。</w:t>
      </w:r>
      <w:r>
        <w:rPr>
          <w:rFonts w:hint="eastAsia" w:hAnsi="仿宋_GB2312" w:eastAsia="仿宋_GB2312" w:cs="仿宋_GB2312"/>
          <w:spacing w:val="-6"/>
          <w:kern w:val="0"/>
          <w:sz w:val="32"/>
          <w:szCs w:val="22"/>
          <w:highlight w:val="none"/>
        </w:rPr>
        <w:t>严格执行村级重大事项</w:t>
      </w:r>
      <w:r>
        <w:rPr>
          <w:rFonts w:hint="eastAsia" w:ascii="仿宋_GB2312" w:hAnsi="仿宋_GB2312" w:eastAsia="仿宋_GB2312" w:cs="仿宋_GB2312"/>
          <w:spacing w:val="-6"/>
          <w:kern w:val="0"/>
          <w:sz w:val="32"/>
          <w:szCs w:val="22"/>
          <w:highlight w:val="none"/>
        </w:rPr>
        <w:t>决策“四议两公开”</w:t>
      </w:r>
      <w:r>
        <w:rPr>
          <w:rStyle w:val="16"/>
          <w:rFonts w:hint="eastAsia" w:ascii="仿宋_GB2312" w:hAnsi="仿宋_GB2312" w:eastAsia="仿宋_GB2312" w:cs="仿宋_GB2312"/>
          <w:spacing w:val="-6"/>
          <w:kern w:val="0"/>
          <w:sz w:val="32"/>
          <w:szCs w:val="22"/>
          <w:highlight w:val="none"/>
        </w:rPr>
        <w:footnoteReference w:id="10"/>
      </w:r>
      <w:r>
        <w:rPr>
          <w:rFonts w:hint="eastAsia" w:ascii="仿宋_GB2312" w:hAnsi="仿宋_GB2312" w:eastAsia="仿宋_GB2312" w:cs="仿宋_GB2312"/>
          <w:spacing w:val="-6"/>
          <w:kern w:val="0"/>
          <w:sz w:val="32"/>
          <w:szCs w:val="22"/>
          <w:highlight w:val="none"/>
        </w:rPr>
        <w:t>，</w:t>
      </w:r>
      <w:r>
        <w:rPr>
          <w:rFonts w:hint="eastAsia" w:ascii="仿宋_GB2312" w:hAnsi="仿宋_GB2312" w:eastAsia="仿宋_GB2312" w:cs="仿宋_GB2312"/>
          <w:kern w:val="0"/>
          <w:sz w:val="32"/>
          <w:szCs w:val="22"/>
          <w:highlight w:val="none"/>
        </w:rPr>
        <w:t>设立“民主法治议事厅”，实行一事一议、依法议事、民主决事，充分调动农民主人翁作用。运用乡村治理积分制给予相应的激励或约束，完善村民自我管理。加强农村集体“三资”监管，实行组账镇代管，加快推进农村集体“三资”</w:t>
      </w:r>
      <w:r>
        <w:rPr>
          <w:rFonts w:hint="eastAsia" w:hAnsi="仿宋_GB2312" w:eastAsia="仿宋_GB2312" w:cs="仿宋_GB2312"/>
          <w:kern w:val="0"/>
          <w:sz w:val="32"/>
          <w:szCs w:val="22"/>
          <w:highlight w:val="none"/>
        </w:rPr>
        <w:t>管理系统全面升级，把所有集体资金资产资源全部录入</w:t>
      </w:r>
      <w:r>
        <w:rPr>
          <w:rFonts w:hint="eastAsia" w:ascii="仿宋_GB2312" w:hAnsi="仿宋_GB2312" w:eastAsia="仿宋_GB2312" w:cs="仿宋_GB2312"/>
          <w:kern w:val="0"/>
          <w:sz w:val="32"/>
          <w:szCs w:val="22"/>
          <w:highlight w:val="none"/>
        </w:rPr>
        <w:t>“三资”</w:t>
      </w:r>
      <w:r>
        <w:rPr>
          <w:rFonts w:hint="eastAsia" w:hAnsi="仿宋_GB2312" w:eastAsia="仿宋_GB2312" w:cs="仿宋_GB2312"/>
          <w:kern w:val="0"/>
          <w:sz w:val="32"/>
          <w:szCs w:val="22"/>
          <w:highlight w:val="none"/>
        </w:rPr>
        <w:t>管理系统，规范土地流转和农村工程项目管理，加强合同管理。修订完善务实管用的村规民约，规劝日常行为，维护公共秩序，保障农民权益，调解矛盾纠纷，让村民成为村规民约的制定者、执行者和监督者。开展优秀村规民约推广活动。</w:t>
      </w:r>
    </w:p>
    <w:p>
      <w:pPr>
        <w:pStyle w:val="7"/>
        <w:spacing w:after="0" w:afterLines="0" w:line="600" w:lineRule="exact"/>
        <w:ind w:firstLine="640"/>
        <w:rPr>
          <w:rFonts w:hint="eastAsia"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强化乡村法治建设。</w:t>
      </w:r>
      <w:r>
        <w:rPr>
          <w:rFonts w:hint="eastAsia" w:hAnsi="仿宋_GB2312" w:eastAsia="仿宋_GB2312" w:cs="仿宋_GB2312"/>
          <w:kern w:val="0"/>
          <w:sz w:val="32"/>
          <w:szCs w:val="22"/>
          <w:highlight w:val="none"/>
        </w:rPr>
        <w:t>学习践行新</w:t>
      </w:r>
      <w:r>
        <w:rPr>
          <w:rFonts w:hint="eastAsia" w:ascii="仿宋_GB2312" w:hAnsi="仿宋_GB2312" w:eastAsia="仿宋_GB2312" w:cs="仿宋_GB2312"/>
          <w:kern w:val="0"/>
          <w:sz w:val="32"/>
          <w:szCs w:val="22"/>
          <w:highlight w:val="none"/>
        </w:rPr>
        <w:t>时代“枫桥经验”，坚持用法治思维法治方式推进乡村治理，建立健全乡村矛盾纠纷调处化解机制。落实一村一法律顾问制度，</w:t>
      </w:r>
      <w:r>
        <w:rPr>
          <w:rFonts w:hint="eastAsia" w:hAnsi="仿宋_GB2312" w:eastAsia="仿宋_GB2312" w:cs="仿宋_GB2312"/>
          <w:kern w:val="0"/>
          <w:sz w:val="32"/>
          <w:szCs w:val="22"/>
          <w:highlight w:val="none"/>
        </w:rPr>
        <w:t>推进公共法律服务网络和实体平台向基层延伸，</w:t>
      </w:r>
      <w:r>
        <w:rPr>
          <w:rFonts w:hint="eastAsia" w:ascii="仿宋_GB2312" w:hAnsi="仿宋_GB2312" w:eastAsia="仿宋_GB2312" w:cs="仿宋_GB2312"/>
          <w:kern w:val="0"/>
          <w:sz w:val="32"/>
          <w:szCs w:val="22"/>
          <w:highlight w:val="none"/>
        </w:rPr>
        <w:t>加强农村法律服务供给，实现全市“民主法治村”创建全覆盖</w:t>
      </w:r>
      <w:r>
        <w:rPr>
          <w:rFonts w:hint="eastAsia" w:hAnsi="仿宋_GB2312" w:eastAsia="仿宋_GB2312" w:cs="仿宋_GB2312"/>
          <w:kern w:val="0"/>
          <w:sz w:val="32"/>
          <w:szCs w:val="22"/>
          <w:highlight w:val="none"/>
        </w:rPr>
        <w:t>。到2023年打造37个以上省级“民主法治示范村（社区）”，培育推选3个以上全国“民主法治示范村（社区）”。培育农村学法用法示范户，2023年实现70%以上的行政村有学法用法示范户，</w:t>
      </w:r>
      <w:r>
        <w:rPr>
          <w:rFonts w:hint="eastAsia" w:hAnsi="仿宋_GB2312" w:eastAsia="仿宋_GB2312" w:cs="仿宋_GB2312"/>
          <w:sz w:val="32"/>
          <w:szCs w:val="32"/>
          <w:highlight w:val="none"/>
        </w:rPr>
        <w:t>2025年实现每个行政村都有学法用法示范户。</w:t>
      </w:r>
      <w:r>
        <w:rPr>
          <w:rFonts w:hint="eastAsia" w:hAnsi="仿宋_GB2312" w:eastAsia="仿宋_GB2312" w:cs="仿宋_GB2312"/>
          <w:kern w:val="0"/>
          <w:sz w:val="32"/>
          <w:szCs w:val="22"/>
          <w:highlight w:val="none"/>
        </w:rPr>
        <w:t>常态化推进基层正风肃纪反腐。</w:t>
      </w:r>
    </w:p>
    <w:p>
      <w:pPr>
        <w:pStyle w:val="7"/>
        <w:spacing w:after="0" w:afterLines="0" w:line="600" w:lineRule="exact"/>
        <w:ind w:firstLine="640"/>
        <w:rPr>
          <w:rFonts w:hint="eastAsia" w:hAnsi="仿宋_GB2312" w:eastAsia="仿宋_GB2312" w:cs="仿宋_GB2312"/>
          <w:sz w:val="32"/>
          <w:szCs w:val="32"/>
          <w:highlight w:val="none"/>
        </w:rPr>
      </w:pPr>
      <w:r>
        <w:rPr>
          <w:rFonts w:hint="eastAsia" w:hAnsi="仿宋_GB2312" w:eastAsia="仿宋_GB2312" w:cs="仿宋_GB2312"/>
          <w:b/>
          <w:bCs/>
          <w:kern w:val="0"/>
          <w:sz w:val="32"/>
          <w:szCs w:val="22"/>
          <w:highlight w:val="none"/>
        </w:rPr>
        <w:t>推进乡村德治建设。</w:t>
      </w:r>
      <w:r>
        <w:rPr>
          <w:rFonts w:hint="eastAsia" w:hAnsi="仿宋_GB2312" w:eastAsia="仿宋_GB2312" w:cs="仿宋_GB2312"/>
          <w:kern w:val="0"/>
          <w:sz w:val="32"/>
          <w:szCs w:val="22"/>
          <w:highlight w:val="none"/>
        </w:rPr>
        <w:t>依托新时代文明实践中心（所、站），弘扬和践行社会主义核心价值观，深入开展习近平新时代中国特色社会主义思想学习教育</w:t>
      </w:r>
      <w:r>
        <w:rPr>
          <w:rFonts w:hint="eastAsia" w:ascii="仿宋_GB2312" w:hAnsi="仿宋_GB2312" w:eastAsia="仿宋_GB2312" w:cs="仿宋_GB2312"/>
          <w:kern w:val="0"/>
          <w:sz w:val="32"/>
          <w:szCs w:val="22"/>
          <w:highlight w:val="none"/>
        </w:rPr>
        <w:t>和“听党话、感党恩、跟党走”宣讲活动</w:t>
      </w:r>
      <w:r>
        <w:rPr>
          <w:rFonts w:hint="eastAsia" w:hAnsi="仿宋_GB2312" w:eastAsia="仿宋_GB2312" w:cs="仿宋_GB2312"/>
          <w:kern w:val="0"/>
          <w:sz w:val="32"/>
          <w:szCs w:val="22"/>
          <w:highlight w:val="none"/>
        </w:rPr>
        <w:t>。大力开展移风易俗，破除丧葬陋习，推行文明节俭治丧、节地生态安葬、文明低碳祭扫，树立殡葬新风尚。讲好茂名先烈故事、革命老区故事，进一步丰富茂名好心文化。</w:t>
      </w:r>
      <w:r>
        <w:rPr>
          <w:rFonts w:hint="eastAsia" w:ascii="仿宋_GB2312" w:hAnsi="仿宋_GB2312" w:eastAsia="仿宋_GB2312" w:cs="仿宋_GB2312"/>
          <w:kern w:val="0"/>
          <w:sz w:val="32"/>
          <w:szCs w:val="22"/>
          <w:highlight w:val="none"/>
        </w:rPr>
        <w:t>充分发挥信宜“中华慈孝文化之乡”等平台，建设一批道德文化教育基地。</w:t>
      </w:r>
      <w:r>
        <w:rPr>
          <w:rFonts w:hint="eastAsia" w:hAnsi="仿宋_GB2312" w:eastAsia="仿宋_GB2312" w:cs="仿宋_GB2312"/>
          <w:kern w:val="0"/>
          <w:sz w:val="32"/>
          <w:szCs w:val="22"/>
          <w:highlight w:val="none"/>
        </w:rPr>
        <w:t>大力开展文明村镇、最美乡村、最美家庭、美丽庭院、信用村、信用户、文明户等创建活动，广泛开展好心邻里、好心婆婆、好心媳妇、好心少年等评选活动，培育良好家风、文明乡风、淳朴民风。</w:t>
      </w:r>
    </w:p>
    <w:p>
      <w:pPr>
        <w:spacing w:line="600" w:lineRule="exact"/>
        <w:ind w:firstLine="643"/>
        <w:rPr>
          <w:rFonts w:hint="eastAsia" w:ascii="仿宋" w:hAnsi="仿宋" w:eastAsia="仿宋" w:cs="仿宋"/>
          <w:kern w:val="0"/>
          <w:sz w:val="32"/>
          <w:szCs w:val="22"/>
          <w:highlight w:val="none"/>
        </w:rPr>
      </w:pPr>
      <w:r>
        <w:rPr>
          <w:rFonts w:hint="eastAsia" w:hAnsi="仿宋_GB2312" w:eastAsia="仿宋_GB2312" w:cs="仿宋_GB2312"/>
          <w:b/>
          <w:bCs/>
          <w:sz w:val="32"/>
          <w:szCs w:val="32"/>
          <w:highlight w:val="none"/>
        </w:rPr>
        <w:t>建设平安乡村。</w:t>
      </w:r>
      <w:r>
        <w:rPr>
          <w:rFonts w:hint="eastAsia" w:hAnsi="仿宋_GB2312" w:eastAsia="仿宋_GB2312" w:cs="仿宋_GB2312"/>
          <w:kern w:val="0"/>
          <w:sz w:val="32"/>
          <w:szCs w:val="22"/>
          <w:highlight w:val="none"/>
        </w:rPr>
        <w:t>健全矛盾排查、现场调解、利益受损者救济救助等机制，加强公安、信访、司法、民政等部门联动，实</w:t>
      </w:r>
      <w:r>
        <w:rPr>
          <w:rFonts w:hint="eastAsia" w:ascii="仿宋_GB2312" w:hAnsi="仿宋_GB2312" w:eastAsia="仿宋_GB2312" w:cs="仿宋_GB2312"/>
          <w:kern w:val="0"/>
          <w:sz w:val="32"/>
          <w:szCs w:val="22"/>
          <w:highlight w:val="none"/>
        </w:rPr>
        <w:t>现矛盾纠纷“一站式”化解。完善农村治安防控体系建设，深入实施“雪亮工程”，健全公共安全视频监控和网格信息化体系，探索完善“互联网+网格管理”服务管理模式。健全农村治安综合治理基层组织，全面推进市、县、乡三级综治中心规范化建设。依法加大对农村非法宗教、邪教活动</w:t>
      </w:r>
      <w:r>
        <w:rPr>
          <w:rFonts w:hint="eastAsia" w:hAnsi="仿宋_GB2312" w:eastAsia="仿宋_GB2312" w:cs="仿宋_GB2312"/>
          <w:kern w:val="0"/>
          <w:sz w:val="32"/>
          <w:szCs w:val="22"/>
          <w:highlight w:val="none"/>
        </w:rPr>
        <w:t>打击力度，大力整治农村乱建宗教活动场所。</w:t>
      </w:r>
      <w:r>
        <w:rPr>
          <w:rFonts w:hint="eastAsia" w:hAnsi="仿宋_GB2312" w:eastAsia="仿宋_GB2312" w:cs="仿宋_GB2312"/>
          <w:sz w:val="32"/>
          <w:szCs w:val="32"/>
          <w:highlight w:val="none"/>
        </w:rPr>
        <w:t>健全农村地区扫黑除恶长效常治机制，</w:t>
      </w:r>
      <w:r>
        <w:rPr>
          <w:rFonts w:hint="eastAsia" w:hAnsi="仿宋_GB2312" w:eastAsia="仿宋_GB2312" w:cs="仿宋_GB2312"/>
          <w:kern w:val="0"/>
          <w:sz w:val="32"/>
          <w:szCs w:val="22"/>
          <w:highlight w:val="none"/>
        </w:rPr>
        <w:t>打防并举、标本兼治，从源头上防范黑恶势力滋生蔓延。建设完善乡村自然灾害、事故灾难应急体系，重点推进</w:t>
      </w:r>
      <w:r>
        <w:rPr>
          <w:rFonts w:hint="eastAsia" w:ascii="仿宋_GB2312" w:hAnsi="仿宋_GB2312" w:eastAsia="仿宋_GB2312" w:cs="仿宋_GB2312"/>
          <w:kern w:val="0"/>
          <w:sz w:val="32"/>
          <w:szCs w:val="22"/>
          <w:highlight w:val="none"/>
        </w:rPr>
        <w:t>行政村（社区）防灾减灾救灾能力“十个有”</w:t>
      </w:r>
      <w:r>
        <w:rPr>
          <w:rStyle w:val="16"/>
          <w:rFonts w:hint="eastAsia" w:ascii="仿宋_GB2312" w:hAnsi="仿宋_GB2312" w:eastAsia="仿宋_GB2312" w:cs="仿宋_GB2312"/>
          <w:kern w:val="0"/>
          <w:sz w:val="32"/>
          <w:szCs w:val="22"/>
          <w:highlight w:val="none"/>
        </w:rPr>
        <w:footnoteReference w:id="11"/>
      </w:r>
      <w:r>
        <w:rPr>
          <w:rFonts w:hint="eastAsia" w:ascii="仿宋_GB2312" w:hAnsi="仿宋_GB2312" w:eastAsia="仿宋_GB2312" w:cs="仿宋_GB2312"/>
          <w:kern w:val="0"/>
          <w:sz w:val="32"/>
          <w:szCs w:val="22"/>
          <w:highlight w:val="none"/>
        </w:rPr>
        <w:t>建设。</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181" w:name="_Toc2840"/>
      <w:bookmarkStart w:id="1182" w:name="_Toc2196"/>
      <w:bookmarkStart w:id="1183" w:name="_Toc26660"/>
      <w:bookmarkStart w:id="1184" w:name="_Toc8224"/>
      <w:bookmarkStart w:id="1185" w:name="_Toc13824"/>
      <w:bookmarkStart w:id="1186" w:name="_Toc15520"/>
      <w:bookmarkStart w:id="1187" w:name="_Toc29931"/>
      <w:bookmarkStart w:id="1188" w:name="_Toc16381"/>
      <w:bookmarkStart w:id="1189" w:name="_Toc9135"/>
      <w:bookmarkStart w:id="1190" w:name="_Toc885"/>
      <w:bookmarkStart w:id="1191" w:name="_Toc22474"/>
      <w:bookmarkStart w:id="1192" w:name="_Toc32492"/>
      <w:bookmarkStart w:id="1193" w:name="_Toc19377"/>
      <w:bookmarkStart w:id="1194" w:name="_Toc19950"/>
      <w:bookmarkStart w:id="1195" w:name="_Toc1093"/>
      <w:r>
        <w:rPr>
          <w:rFonts w:hint="eastAsia" w:ascii="黑体" w:hAnsi="黑体" w:eastAsia="黑体" w:cs="黑体"/>
          <w:b w:val="0"/>
          <w:bCs w:val="0"/>
          <w:highlight w:val="none"/>
        </w:rPr>
        <w:t>二、完善农村公共事务管理服务</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7"/>
        <w:spacing w:after="0" w:afterLines="0" w:line="600" w:lineRule="exact"/>
        <w:ind w:firstLine="643" w:firstLineChars="200"/>
        <w:rPr>
          <w:rFonts w:hint="eastAsia" w:hAnsi="仿宋_GB2312" w:eastAsia="仿宋_GB2312" w:cs="仿宋_GB2312"/>
          <w:sz w:val="32"/>
          <w:szCs w:val="32"/>
          <w:highlight w:val="none"/>
        </w:rPr>
      </w:pPr>
      <w:r>
        <w:rPr>
          <w:rFonts w:hint="eastAsia" w:hAnsi="仿宋_GB2312" w:eastAsia="仿宋_GB2312" w:cs="仿宋_GB2312"/>
          <w:b/>
          <w:bCs/>
          <w:sz w:val="32"/>
          <w:szCs w:val="32"/>
          <w:highlight w:val="none"/>
        </w:rPr>
        <w:t>促进农村公共服务能力提升。</w:t>
      </w:r>
      <w:r>
        <w:rPr>
          <w:rFonts w:hint="eastAsia" w:ascii="仿宋_GB2312" w:hAnsi="仿宋_GB2312" w:eastAsia="仿宋_GB2312" w:cs="仿宋_GB2312"/>
          <w:kern w:val="0"/>
          <w:sz w:val="32"/>
          <w:szCs w:val="22"/>
          <w:highlight w:val="none"/>
        </w:rPr>
        <w:t>按照实际需要、宜放则放的原则，将县级行政许可、行政处罚、行政强制、公共服务等经济社会管理权限下放各镇（街道），提升镇级公共服务能力。整合乡镇和县级部门派</w:t>
      </w:r>
      <w:r>
        <w:rPr>
          <w:rFonts w:hint="eastAsia" w:hAnsi="仿宋_GB2312" w:eastAsia="仿宋_GB2312" w:cs="仿宋_GB2312"/>
          <w:sz w:val="32"/>
          <w:szCs w:val="32"/>
          <w:highlight w:val="none"/>
        </w:rPr>
        <w:t>驻乡镇机构承担</w:t>
      </w:r>
      <w:r>
        <w:rPr>
          <w:rFonts w:hint="eastAsia" w:ascii="仿宋_GB2312" w:hAnsi="仿宋_GB2312" w:eastAsia="仿宋_GB2312" w:cs="仿宋_GB2312"/>
          <w:kern w:val="0"/>
          <w:sz w:val="32"/>
          <w:szCs w:val="22"/>
          <w:highlight w:val="none"/>
        </w:rPr>
        <w:t>的职能相近、职责交叉工作事项，建立集综合治理、综合执法、公共服务于一体的统一平台。构建县乡联动、功能集成、反应灵敏、扁平高效的综合指挥体系，增强乡镇统筹协调能力。推进“放管服”改革和“最多跑一次”向基层延伸。大力推进农村综合服务设施建设，引导管理服务向农村延伸，为农民提供“一门式办理”“一站式服务”，构建线上线下相结合的乡村便民服务体系。健全网络办公系统并实现县、镇、村互联互通，实现服务事项的业务受理、业务处理、部门审批等多个环节之间无缝衔接。将农村民生和社会治理领域中属于政府职责范围且适合通过市场化方式</w:t>
      </w:r>
      <w:r>
        <w:rPr>
          <w:rFonts w:hint="eastAsia" w:hAnsi="仿宋_GB2312" w:eastAsia="仿宋_GB2312" w:cs="仿宋_GB2312"/>
          <w:sz w:val="32"/>
          <w:szCs w:val="32"/>
          <w:highlight w:val="none"/>
        </w:rPr>
        <w:t>提供的服务事项，纳入政府购买服务指导性目录。</w:t>
      </w:r>
    </w:p>
    <w:p>
      <w:pPr>
        <w:pStyle w:val="7"/>
        <w:spacing w:after="0" w:afterLines="0" w:line="600" w:lineRule="exact"/>
        <w:ind w:firstLine="643" w:firstLineChars="200"/>
        <w:rPr>
          <w:rFonts w:hint="eastAsia" w:ascii="仿宋_GB2312" w:hAnsi="仿宋_GB2312" w:eastAsia="仿宋_GB2312" w:cs="仿宋_GB2312"/>
          <w:kern w:val="0"/>
          <w:sz w:val="32"/>
          <w:szCs w:val="22"/>
          <w:highlight w:val="none"/>
        </w:rPr>
      </w:pPr>
      <w:r>
        <w:rPr>
          <w:rFonts w:hint="eastAsia" w:hAnsi="仿宋_GB2312" w:eastAsia="仿宋_GB2312" w:cs="仿宋_GB2312"/>
          <w:b/>
          <w:bCs/>
          <w:sz w:val="32"/>
          <w:szCs w:val="32"/>
          <w:highlight w:val="none"/>
        </w:rPr>
        <w:t>全面实施村级事务阳光工程。</w:t>
      </w:r>
      <w:r>
        <w:rPr>
          <w:rFonts w:hint="eastAsia" w:hAnsi="仿宋_GB2312" w:eastAsia="仿宋_GB2312" w:cs="仿宋_GB2312"/>
          <w:sz w:val="32"/>
          <w:szCs w:val="32"/>
          <w:highlight w:val="none"/>
        </w:rPr>
        <w:t>完善</w:t>
      </w:r>
      <w:r>
        <w:rPr>
          <w:rFonts w:hint="eastAsia" w:ascii="仿宋_GB2312" w:hAnsi="仿宋_GB2312" w:eastAsia="仿宋_GB2312" w:cs="仿宋_GB2312"/>
          <w:kern w:val="0"/>
          <w:sz w:val="32"/>
          <w:szCs w:val="22"/>
          <w:highlight w:val="none"/>
        </w:rPr>
        <w:t>党务、村务、财务“三公开”制度，实现公开经常化、制度化和规范化。梳理村级事务公开清单，及时公开组织建设、公共服务、工程项目等重大事项，打造廉洁服务型的基层组织。健全村务档案管理制度。推广村级事务“阳光公开”监管平台，支持建立“村民微信群”“乡村公众号”等，推进村级事务即时公开，加</w:t>
      </w:r>
      <w:r>
        <w:rPr>
          <w:rFonts w:hint="eastAsia" w:hAnsi="仿宋_GB2312" w:eastAsia="仿宋_GB2312" w:cs="仿宋_GB2312"/>
          <w:sz w:val="32"/>
          <w:szCs w:val="32"/>
          <w:highlight w:val="none"/>
        </w:rPr>
        <w:t>强群众</w:t>
      </w:r>
      <w:r>
        <w:rPr>
          <w:rFonts w:hint="eastAsia" w:ascii="仿宋_GB2312" w:hAnsi="仿宋_GB2312" w:eastAsia="仿宋_GB2312" w:cs="仿宋_GB2312"/>
          <w:kern w:val="0"/>
          <w:sz w:val="32"/>
          <w:szCs w:val="22"/>
          <w:highlight w:val="none"/>
        </w:rPr>
        <w:t>对村级权力有效监督。规范村级会计委托代理制，加强农村集体经济组织审计监督，开展村干部任期和离任经济责任审计。</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196" w:name="_Toc9891"/>
      <w:bookmarkStart w:id="1197" w:name="_Toc14807"/>
      <w:bookmarkStart w:id="1198" w:name="_Toc26216"/>
      <w:bookmarkStart w:id="1199" w:name="_Toc20961"/>
      <w:bookmarkStart w:id="1200" w:name="_Toc12599"/>
      <w:bookmarkStart w:id="1201" w:name="_Toc29189"/>
      <w:bookmarkStart w:id="1202" w:name="_Toc16795"/>
      <w:bookmarkStart w:id="1203" w:name="_Toc24362"/>
      <w:bookmarkStart w:id="1204" w:name="_Toc26101"/>
      <w:bookmarkStart w:id="1205" w:name="_Toc30027"/>
      <w:bookmarkStart w:id="1206" w:name="_Toc25093"/>
      <w:bookmarkStart w:id="1207" w:name="_Toc21496"/>
      <w:bookmarkStart w:id="1208" w:name="_Toc24841"/>
      <w:bookmarkStart w:id="1209" w:name="_Toc10175"/>
      <w:bookmarkStart w:id="1210" w:name="_Toc12990"/>
      <w:r>
        <w:rPr>
          <w:rFonts w:hint="eastAsia" w:ascii="黑体" w:hAnsi="黑体" w:eastAsia="黑体" w:cs="黑体"/>
          <w:b w:val="0"/>
          <w:bCs w:val="0"/>
          <w:highlight w:val="none"/>
        </w:rPr>
        <w:t>三、加强基层治理能力条件建设</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7"/>
        <w:spacing w:after="0" w:afterLines="0" w:line="600" w:lineRule="exact"/>
        <w:ind w:firstLine="640" w:firstLineChars="200"/>
        <w:rPr>
          <w:rFonts w:hint="eastAsia" w:ascii="仿宋_GB2312" w:hAnsi="仿宋_GB2312" w:eastAsia="仿宋_GB2312" w:cs="仿宋_GB2312"/>
          <w:kern w:val="0"/>
          <w:sz w:val="32"/>
          <w:szCs w:val="22"/>
          <w:highlight w:val="none"/>
        </w:rPr>
      </w:pPr>
      <w:r>
        <w:rPr>
          <w:rFonts w:hint="eastAsia" w:ascii="仿宋_GB2312" w:hAnsi="仿宋_GB2312" w:eastAsia="仿宋_GB2312" w:cs="仿宋_GB2312"/>
          <w:kern w:val="0"/>
          <w:sz w:val="32"/>
          <w:szCs w:val="22"/>
          <w:highlight w:val="none"/>
        </w:rPr>
        <w:t>充分运用大数据、云计算、人工智能等先进的科技、信息技术，全面铺开网格化服务管理工作，完善推广“综治中心+网格化+信息化”管理模式，推进并维护好“雪亮工程”，构建立体化社会治安防控体系，提升政府服务和监管能力。建立健全乡村公共安全监管体系以及重大群体性事件、重大自然灾害风险评估制度，不断提高乡村公共安全风险预警和处理能力，</w:t>
      </w:r>
      <w:r>
        <w:rPr>
          <w:rFonts w:hint="eastAsia" w:ascii="仿宋_GB2312" w:hAnsi="仿宋_GB2312" w:eastAsia="仿宋_GB2312" w:cs="仿宋_GB2312"/>
          <w:sz w:val="32"/>
          <w:szCs w:val="32"/>
          <w:highlight w:val="none"/>
        </w:rPr>
        <w:t>实现“平安村（自然村）”创建全覆盖</w:t>
      </w:r>
      <w:r>
        <w:rPr>
          <w:rFonts w:hint="eastAsia" w:ascii="仿宋_GB2312" w:hAnsi="仿宋_GB2312" w:eastAsia="仿宋_GB2312" w:cs="仿宋_GB2312"/>
          <w:kern w:val="0"/>
          <w:sz w:val="32"/>
          <w:szCs w:val="22"/>
          <w:highlight w:val="none"/>
        </w:rPr>
        <w:t>。切实提高新时代干部队伍建设制度执行能力，通过思想淬炼、政治历练、实践锻炼、专业训练，把基层干部的政治意识、政治能力和遵守制度、执行制度的能力提上来。</w:t>
      </w:r>
    </w:p>
    <w:tbl>
      <w:tblPr>
        <w:tblStyle w:val="14"/>
        <w:tblW w:w="0" w:type="auto"/>
        <w:jc w:val="center"/>
        <w:shd w:val="clear" w:color="auto" w:fill="FFFFFF"/>
        <w:tblLayout w:type="fixed"/>
        <w:tblCellMar>
          <w:top w:w="0" w:type="dxa"/>
          <w:left w:w="108" w:type="dxa"/>
          <w:bottom w:w="0" w:type="dxa"/>
          <w:right w:w="108" w:type="dxa"/>
        </w:tblCellMar>
      </w:tblPr>
      <w:tblGrid>
        <w:gridCol w:w="8300"/>
      </w:tblGrid>
      <w:tr>
        <w:tblPrEx>
          <w:shd w:val="clear" w:color="auto" w:fill="FFFFFF"/>
          <w:tblCellMar>
            <w:top w:w="0" w:type="dxa"/>
            <w:left w:w="108" w:type="dxa"/>
            <w:bottom w:w="0" w:type="dxa"/>
            <w:right w:w="108" w:type="dxa"/>
          </w:tblCellMar>
        </w:tblPrEx>
        <w:trPr>
          <w:trHeight w:val="512" w:hRule="atLeast"/>
          <w:jc w:val="center"/>
        </w:trPr>
        <w:tc>
          <w:tcPr>
            <w:tcW w:w="83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utoSpaceDE w:val="0"/>
              <w:spacing w:before="156" w:beforeLines="50" w:after="156" w:afterLines="50" w:line="360" w:lineRule="exact"/>
              <w:ind w:firstLine="480" w:firstLineChars="200"/>
              <w:jc w:val="center"/>
              <w:rPr>
                <w:rFonts w:ascii="Times New Roman" w:hAnsi="Times New Roman" w:eastAsia="仿宋"/>
                <w:b/>
                <w:bCs/>
                <w:sz w:val="28"/>
                <w:szCs w:val="28"/>
                <w:highlight w:val="none"/>
              </w:rPr>
            </w:pPr>
            <w:r>
              <w:rPr>
                <w:rFonts w:hint="eastAsia" w:ascii="黑体" w:hAnsi="黑体" w:eastAsia="黑体" w:cs="黑体"/>
                <w:b w:val="0"/>
                <w:bCs w:val="0"/>
                <w:sz w:val="24"/>
                <w:szCs w:val="21"/>
                <w:highlight w:val="none"/>
              </w:rPr>
              <w:t>专栏七  乡村治理提升行动</w:t>
            </w:r>
          </w:p>
        </w:tc>
      </w:tr>
      <w:tr>
        <w:tblPrEx>
          <w:shd w:val="clear" w:color="auto" w:fill="FFFFFF"/>
          <w:tblCellMar>
            <w:top w:w="0" w:type="dxa"/>
            <w:left w:w="108" w:type="dxa"/>
            <w:bottom w:w="0" w:type="dxa"/>
            <w:right w:w="108" w:type="dxa"/>
          </w:tblCellMar>
        </w:tblPrEx>
        <w:trPr>
          <w:trHeight w:val="543" w:hRule="atLeast"/>
          <w:jc w:val="center"/>
        </w:trPr>
        <w:tc>
          <w:tcPr>
            <w:tcW w:w="8300" w:type="dxa"/>
            <w:tcBorders>
              <w:top w:val="nil"/>
              <w:left w:val="single" w:color="000000" w:sz="4" w:space="0"/>
              <w:bottom w:val="single" w:color="000000" w:sz="4" w:space="0"/>
              <w:right w:val="single" w:color="000000" w:sz="4" w:space="0"/>
            </w:tcBorders>
            <w:shd w:val="clear" w:color="auto" w:fill="FFFFFF"/>
            <w:noWrap w:val="0"/>
            <w:vAlign w:val="center"/>
          </w:tcPr>
          <w:p>
            <w:pPr>
              <w:spacing w:line="400" w:lineRule="exact"/>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（一）“头雁”和党员先锋实施行动</w:t>
            </w:r>
          </w:p>
          <w:p>
            <w:pPr>
              <w:spacing w:line="400" w:lineRule="exact"/>
              <w:ind w:firstLine="480" w:firstLineChars="200"/>
              <w:rPr>
                <w:rFonts w:hint="eastAsia" w:ascii="仿宋_GB2312" w:hAnsi="仿宋_GB2312" w:eastAsia="仿宋_GB2312" w:cs="仿宋_GB2312"/>
                <w:sz w:val="28"/>
                <w:szCs w:val="32"/>
                <w:highlight w:val="none"/>
              </w:rPr>
            </w:pPr>
            <w:r>
              <w:rPr>
                <w:rFonts w:hint="eastAsia" w:ascii="仿宋_GB2312" w:hAnsi="仿宋_GB2312" w:eastAsia="仿宋_GB2312" w:cs="仿宋_GB2312"/>
                <w:kern w:val="0"/>
                <w:sz w:val="24"/>
                <w:szCs w:val="20"/>
                <w:highlight w:val="none"/>
              </w:rPr>
              <w:t>全面推行村党组织书记县级备案管理，开展党员评星定级管理。</w:t>
            </w:r>
          </w:p>
          <w:p>
            <w:pPr>
              <w:spacing w:line="400" w:lineRule="exact"/>
              <w:ind w:firstLine="482"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b/>
                <w:bCs/>
                <w:kern w:val="0"/>
                <w:sz w:val="24"/>
                <w:szCs w:val="20"/>
                <w:highlight w:val="none"/>
              </w:rPr>
              <w:t>（二）农村公共服务平台建设工程</w:t>
            </w:r>
          </w:p>
          <w:p>
            <w:pPr>
              <w:spacing w:line="400" w:lineRule="exact"/>
              <w:ind w:firstLine="480" w:firstLineChars="200"/>
              <w:jc w:val="left"/>
              <w:rPr>
                <w:rFonts w:ascii="Times New Roman" w:hAnsi="Times New Roman" w:eastAsia="仿宋"/>
                <w:sz w:val="24"/>
                <w:highlight w:val="none"/>
              </w:rPr>
            </w:pPr>
            <w:r>
              <w:rPr>
                <w:rFonts w:hint="eastAsia" w:ascii="仿宋_GB2312" w:hAnsi="仿宋_GB2312" w:eastAsia="仿宋_GB2312" w:cs="仿宋_GB2312"/>
                <w:kern w:val="0"/>
                <w:sz w:val="24"/>
                <w:szCs w:val="20"/>
                <w:highlight w:val="none"/>
              </w:rPr>
              <w:t>整合公共服务职能，建立集综合治理、综合执法、公共服务于一体的统一平台。大力推进农村社区综合服务设施建设，为农民提供“一门式办理”“一站式服务”，构建线上线下相结合的乡村便民服务体系。至2025年，实现农村综合服务设施覆盖率达到100%。</w:t>
            </w:r>
          </w:p>
        </w:tc>
      </w:tr>
    </w:tbl>
    <w:p>
      <w:pPr>
        <w:numPr>
          <w:ilvl w:val="0"/>
          <w:numId w:val="1"/>
        </w:numPr>
        <w:spacing w:before="0" w:beforeLines="0" w:after="0" w:afterLines="0" w:line="600" w:lineRule="exact"/>
        <w:jc w:val="center"/>
        <w:rPr>
          <w:rFonts w:eastAsia="方正小标宋简体"/>
          <w:b w:val="0"/>
          <w:bCs w:val="0"/>
          <w:kern w:val="2"/>
          <w:sz w:val="36"/>
          <w:szCs w:val="36"/>
          <w:highlight w:val="none"/>
        </w:rPr>
      </w:pPr>
      <w:bookmarkStart w:id="1211" w:name="_Toc2397"/>
      <w:bookmarkStart w:id="1212" w:name="_Toc2237"/>
      <w:bookmarkStart w:id="1213" w:name="_Toc22772"/>
      <w:bookmarkStart w:id="1214" w:name="_Toc21574"/>
      <w:bookmarkStart w:id="1215" w:name="_Toc3464"/>
      <w:bookmarkStart w:id="1216" w:name="_Toc679"/>
      <w:bookmarkStart w:id="1217" w:name="_Toc10018"/>
      <w:bookmarkStart w:id="1218" w:name="_Toc23588"/>
      <w:bookmarkStart w:id="1219" w:name="_Toc20088"/>
      <w:bookmarkStart w:id="1220" w:name="_Toc3954"/>
      <w:bookmarkStart w:id="1221" w:name="_Toc25387"/>
      <w:bookmarkStart w:id="1222" w:name="_Toc8516"/>
      <w:bookmarkStart w:id="1223" w:name="_Toc7804"/>
      <w:bookmarkStart w:id="1224" w:name="_Toc16569"/>
      <w:r>
        <w:rPr>
          <w:rFonts w:eastAsia="方正小标宋简体"/>
          <w:b w:val="0"/>
          <w:bCs w:val="0"/>
          <w:kern w:val="2"/>
          <w:sz w:val="36"/>
          <w:szCs w:val="36"/>
          <w:highlight w:val="none"/>
        </w:rPr>
        <w:t xml:space="preserve"> 培养精勤农民 全力打造农业农村</w:t>
      </w:r>
    </w:p>
    <w:p>
      <w:pPr>
        <w:pStyle w:val="4"/>
        <w:numPr>
          <w:ilvl w:val="0"/>
          <w:numId w:val="0"/>
        </w:numPr>
        <w:spacing w:before="0" w:beforeLines="0" w:after="0" w:afterLines="0" w:line="600" w:lineRule="exact"/>
        <w:jc w:val="center"/>
        <w:rPr>
          <w:rFonts w:hint="eastAsia" w:eastAsia="方正小标宋简体"/>
          <w:b w:val="0"/>
          <w:bCs w:val="0"/>
          <w:kern w:val="2"/>
          <w:sz w:val="36"/>
          <w:szCs w:val="36"/>
          <w:highlight w:val="none"/>
          <w:lang w:val="en-US" w:eastAsia="zh-CN"/>
        </w:rPr>
      </w:pPr>
      <w:r>
        <w:rPr>
          <w:rFonts w:hint="eastAsia" w:eastAsia="方正小标宋简体"/>
          <w:b w:val="0"/>
          <w:bCs w:val="0"/>
          <w:kern w:val="2"/>
          <w:sz w:val="36"/>
          <w:szCs w:val="36"/>
          <w:highlight w:val="none"/>
          <w:lang w:val="en-US" w:eastAsia="zh-CN"/>
        </w:rPr>
        <w:t xml:space="preserve"> </w:t>
      </w:r>
      <w:r>
        <w:rPr>
          <w:rFonts w:eastAsia="方正小标宋简体"/>
          <w:b w:val="0"/>
          <w:bCs w:val="0"/>
          <w:kern w:val="2"/>
          <w:sz w:val="36"/>
          <w:szCs w:val="36"/>
          <w:highlight w:val="none"/>
        </w:rPr>
        <w:t>高质量发展主力军</w:t>
      </w:r>
    </w:p>
    <w:p>
      <w:pPr>
        <w:pStyle w:val="4"/>
        <w:numPr>
          <w:ilvl w:val="0"/>
          <w:numId w:val="0"/>
        </w:numPr>
        <w:spacing w:before="0" w:beforeLines="0" w:after="0" w:afterLines="0" w:line="600" w:lineRule="exact"/>
        <w:jc w:val="both"/>
        <w:rPr>
          <w:rFonts w:eastAsia="方正小标宋简体"/>
          <w:b w:val="0"/>
          <w:bCs w:val="0"/>
          <w:kern w:val="2"/>
          <w:sz w:val="36"/>
          <w:szCs w:val="36"/>
          <w:highlight w:val="none"/>
        </w:rPr>
      </w:pPr>
      <w:r>
        <w:rPr>
          <w:rFonts w:hint="eastAsia" w:eastAsia="方正小标宋简体"/>
          <w:b w:val="0"/>
          <w:bCs w:val="0"/>
          <w:kern w:val="2"/>
          <w:sz w:val="36"/>
          <w:szCs w:val="36"/>
          <w:highlight w:val="none"/>
          <w:lang w:val="en-US" w:eastAsia="zh-CN"/>
        </w:rPr>
        <w:t xml:space="preserve">            </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spacing w:line="600" w:lineRule="exact"/>
        <w:ind w:firstLine="600"/>
        <w:rPr>
          <w:rFonts w:hint="eastAsia" w:hAnsi="仿宋_GB2312" w:eastAsia="仿宋_GB2312" w:cs="仿宋_GB2312"/>
          <w:kern w:val="0"/>
          <w:sz w:val="32"/>
          <w:szCs w:val="22"/>
          <w:highlight w:val="none"/>
        </w:rPr>
      </w:pPr>
      <w:r>
        <w:rPr>
          <w:rFonts w:hint="eastAsia" w:ascii="仿宋_GB2312" w:hAnsi="仿宋_GB2312" w:eastAsia="仿宋_GB2312" w:cs="仿宋_GB2312"/>
          <w:kern w:val="0"/>
          <w:sz w:val="32"/>
          <w:szCs w:val="22"/>
          <w:highlight w:val="none"/>
        </w:rPr>
        <w:t>注重精勤化培育，提高农民素养、能力和精神风貌，高质量推进农民创新创业，展现“好心茂名”精勤农民的精神面貌，培养造就新型农民队伍。不断完善农民收入长效增长机制，全面提升农民收入水平。</w:t>
      </w:r>
    </w:p>
    <w:p>
      <w:pPr>
        <w:pStyle w:val="5"/>
        <w:spacing w:before="0" w:beforeLines="0" w:after="0" w:afterLines="0" w:line="600" w:lineRule="exact"/>
        <w:jc w:val="center"/>
        <w:rPr>
          <w:rFonts w:ascii="Times New Roman" w:hAnsi="Times New Roman" w:eastAsia="黑体"/>
          <w:b w:val="0"/>
          <w:bCs w:val="0"/>
          <w:sz w:val="32"/>
          <w:highlight w:val="none"/>
        </w:rPr>
      </w:pPr>
      <w:bookmarkStart w:id="1225" w:name="_Toc25039"/>
      <w:bookmarkStart w:id="1226" w:name="_Toc18784"/>
      <w:bookmarkStart w:id="1227" w:name="_Toc15315"/>
      <w:bookmarkStart w:id="1228" w:name="_Toc25300"/>
      <w:bookmarkStart w:id="1229" w:name="_Toc5995"/>
      <w:bookmarkStart w:id="1230" w:name="_Toc26585"/>
      <w:bookmarkStart w:id="1231" w:name="_Toc10436"/>
      <w:bookmarkStart w:id="1232" w:name="_Toc30115"/>
      <w:bookmarkStart w:id="1233" w:name="_Toc926"/>
      <w:bookmarkStart w:id="1234" w:name="_Toc7185"/>
      <w:bookmarkStart w:id="1235" w:name="_Toc18165"/>
      <w:bookmarkStart w:id="1236" w:name="_Toc134"/>
      <w:bookmarkStart w:id="1237" w:name="_Toc19764"/>
      <w:bookmarkStart w:id="1238" w:name="_Toc4941"/>
      <w:bookmarkStart w:id="1239" w:name="_Toc32369"/>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第一节  大力培养高素质农民</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240" w:name="_Toc18471"/>
      <w:bookmarkStart w:id="1241" w:name="_Toc3943"/>
      <w:bookmarkStart w:id="1242" w:name="_Toc14158"/>
      <w:bookmarkStart w:id="1243" w:name="_Toc11440"/>
      <w:bookmarkStart w:id="1244" w:name="_Toc23854"/>
      <w:bookmarkStart w:id="1245" w:name="_Toc26114"/>
      <w:bookmarkStart w:id="1246" w:name="_Toc11667"/>
      <w:bookmarkStart w:id="1247" w:name="_Toc3358"/>
      <w:bookmarkStart w:id="1248" w:name="_Toc18260"/>
      <w:bookmarkStart w:id="1249" w:name="_Toc12628"/>
      <w:bookmarkStart w:id="1250" w:name="_Toc2195"/>
      <w:bookmarkStart w:id="1251" w:name="_Toc32155"/>
      <w:bookmarkStart w:id="1252" w:name="_Toc6397"/>
      <w:bookmarkStart w:id="1253" w:name="_Toc21484"/>
      <w:bookmarkStart w:id="1254" w:name="_Toc28295"/>
      <w:r>
        <w:rPr>
          <w:rFonts w:hint="eastAsia" w:ascii="黑体" w:hAnsi="黑体" w:eastAsia="黑体" w:cs="黑体"/>
          <w:b w:val="0"/>
          <w:bCs w:val="0"/>
          <w:highlight w:val="none"/>
        </w:rPr>
        <w:t>一、建立健全职业农民培养制度</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spacing w:line="600" w:lineRule="exact"/>
        <w:ind w:firstLine="600"/>
        <w:rPr>
          <w:rFonts w:hint="eastAsia" w:ascii="仿宋_GB2312" w:hAnsi="仿宋_GB2312" w:eastAsia="仿宋_GB2312" w:cs="仿宋_GB2312"/>
          <w:kern w:val="0"/>
          <w:sz w:val="32"/>
          <w:szCs w:val="22"/>
          <w:highlight w:val="none"/>
        </w:rPr>
      </w:pPr>
      <w:r>
        <w:rPr>
          <w:rFonts w:hint="eastAsia" w:hAnsi="仿宋_GB2312" w:eastAsia="仿宋_GB2312" w:cs="仿宋_GB2312"/>
          <w:b/>
          <w:bCs/>
          <w:kern w:val="0"/>
          <w:sz w:val="32"/>
          <w:szCs w:val="22"/>
          <w:highlight w:val="none"/>
        </w:rPr>
        <w:t>实</w:t>
      </w:r>
      <w:r>
        <w:rPr>
          <w:rFonts w:hint="eastAsia" w:ascii="仿宋_GB2312" w:hAnsi="仿宋_GB2312" w:eastAsia="仿宋_GB2312" w:cs="仿宋_GB2312"/>
          <w:b/>
          <w:bCs/>
          <w:kern w:val="0"/>
          <w:sz w:val="32"/>
          <w:szCs w:val="22"/>
          <w:highlight w:val="none"/>
        </w:rPr>
        <w:t>施精勤农民培育计划</w:t>
      </w:r>
      <w:r>
        <w:rPr>
          <w:rFonts w:hint="eastAsia" w:ascii="仿宋_GB2312" w:hAnsi="仿宋_GB2312" w:eastAsia="仿宋_GB2312" w:cs="仿宋_GB2312"/>
          <w:kern w:val="0"/>
          <w:sz w:val="32"/>
          <w:szCs w:val="22"/>
          <w:highlight w:val="none"/>
        </w:rPr>
        <w:t>。统筹现代青年农场主、林场主、村干部和返乡创业致富“领头雁”培养计划，围绕全产业链，分类分层分模块开展培训。着力开展师资和管理者培训，强化农广校培训组织能力建设，健全完善农民教育培训体系。推广“田间学校”“产学合作”“职业培训包”“互联网＋”等培训方式，提高培训便利度。以基层组织带头人、乡村产业带头人及青年农民为重点，量身定制培养方案，实施定向培养计划。探索建立和完善对高素质职业农民、村干部参加社保的制度设计和补贴办法。推进农民培育与金融担保、电商营销等服务相衔接。依托科教云平台提供技术、政策、信息等综合性服务。</w:t>
      </w:r>
    </w:p>
    <w:p>
      <w:pPr>
        <w:autoSpaceDE w:val="0"/>
        <w:autoSpaceDN w:val="0"/>
        <w:adjustRightInd w:val="0"/>
        <w:spacing w:line="600" w:lineRule="exact"/>
        <w:ind w:firstLine="643" w:firstLineChars="200"/>
        <w:rPr>
          <w:rFonts w:hint="eastAsia" w:hAnsi="仿宋_GB2312" w:eastAsia="仿宋_GB2312" w:cs="仿宋_GB2312"/>
          <w:sz w:val="32"/>
          <w:szCs w:val="32"/>
          <w:highlight w:val="none"/>
          <w:lang w:val="zh-TW" w:eastAsia="zh-TW" w:bidi="zh-TW"/>
        </w:rPr>
      </w:pPr>
      <w:r>
        <w:rPr>
          <w:rFonts w:hint="eastAsia" w:hAnsi="仿宋_GB2312" w:eastAsia="仿宋_GB2312" w:cs="仿宋_GB2312"/>
          <w:b/>
          <w:bCs/>
          <w:kern w:val="0"/>
          <w:sz w:val="32"/>
          <w:szCs w:val="22"/>
          <w:highlight w:val="none"/>
          <w:lang w:val="zh-TW" w:bidi="zh-TW"/>
        </w:rPr>
        <w:t>创新农业职业教育培养模式</w:t>
      </w:r>
      <w:r>
        <w:rPr>
          <w:rFonts w:hint="eastAsia" w:hAnsi="仿宋_GB2312" w:eastAsia="仿宋_GB2312" w:cs="仿宋_GB2312"/>
          <w:sz w:val="32"/>
          <w:szCs w:val="32"/>
          <w:highlight w:val="none"/>
          <w:lang w:val="zh-TW" w:bidi="zh-TW"/>
        </w:rPr>
        <w:t>。</w:t>
      </w:r>
      <w:r>
        <w:rPr>
          <w:rFonts w:hint="eastAsia" w:hAnsi="仿宋_GB2312" w:eastAsia="仿宋_GB2312" w:cs="仿宋_GB2312"/>
          <w:color w:val="auto"/>
          <w:sz w:val="32"/>
          <w:szCs w:val="32"/>
          <w:highlight w:val="none"/>
          <w:lang w:bidi="zh-TW"/>
        </w:rPr>
        <w:t>充分发挥茂名市高等院校的作用</w:t>
      </w:r>
      <w:r>
        <w:rPr>
          <w:rFonts w:hint="eastAsia" w:hAnsi="仿宋_GB2312" w:eastAsia="仿宋_GB2312" w:cs="仿宋_GB2312"/>
          <w:color w:val="auto"/>
          <w:sz w:val="32"/>
          <w:szCs w:val="32"/>
          <w:highlight w:val="none"/>
          <w:lang w:val="zh-TW" w:eastAsia="zh-TW" w:bidi="zh-TW"/>
        </w:rPr>
        <w:t>，联合市委党校、在茂高校、市属中职技工院校，</w:t>
      </w:r>
      <w:r>
        <w:rPr>
          <w:rFonts w:hint="eastAsia" w:hAnsi="仿宋_GB2312" w:eastAsia="仿宋_GB2312" w:cs="仿宋_GB2312"/>
          <w:color w:val="auto"/>
          <w:sz w:val="32"/>
          <w:szCs w:val="32"/>
          <w:highlight w:val="none"/>
          <w:lang w:bidi="zh-TW"/>
        </w:rPr>
        <w:t>成立若干家乡村振兴学院，并提升现有两家</w:t>
      </w:r>
      <w:r>
        <w:rPr>
          <w:rFonts w:hint="eastAsia" w:hAnsi="仿宋_GB2312" w:eastAsia="仿宋_GB2312" w:cs="仿宋_GB2312"/>
          <w:color w:val="auto"/>
          <w:sz w:val="32"/>
          <w:szCs w:val="32"/>
          <w:highlight w:val="none"/>
          <w:lang w:val="zh-TW" w:eastAsia="zh-TW" w:bidi="zh-TW"/>
        </w:rPr>
        <w:t>茂名乡村振兴学院</w:t>
      </w:r>
      <w:r>
        <w:rPr>
          <w:rFonts w:hint="eastAsia" w:hAnsi="仿宋_GB2312" w:eastAsia="仿宋_GB2312" w:cs="仿宋_GB2312"/>
          <w:color w:val="auto"/>
          <w:sz w:val="32"/>
          <w:szCs w:val="32"/>
          <w:highlight w:val="none"/>
          <w:lang w:bidi="zh-TW"/>
        </w:rPr>
        <w:t>发展水平</w:t>
      </w:r>
      <w:r>
        <w:rPr>
          <w:rFonts w:hint="eastAsia" w:hAnsi="仿宋_GB2312" w:eastAsia="仿宋_GB2312" w:cs="仿宋_GB2312"/>
          <w:color w:val="auto"/>
          <w:sz w:val="32"/>
          <w:szCs w:val="32"/>
          <w:highlight w:val="none"/>
          <w:lang w:val="zh-TW" w:eastAsia="zh-TW" w:bidi="zh-TW"/>
        </w:rPr>
        <w:t>，加快推进市级、县级乡村振兴学院以及镇级教学点的建设，</w:t>
      </w:r>
      <w:r>
        <w:rPr>
          <w:rFonts w:hint="eastAsia" w:hAnsi="仿宋_GB2312" w:eastAsia="仿宋_GB2312" w:cs="仿宋_GB2312"/>
          <w:sz w:val="32"/>
          <w:szCs w:val="32"/>
          <w:highlight w:val="none"/>
          <w:lang w:bidi="zh-TW"/>
        </w:rPr>
        <w:t>进一步强化</w:t>
      </w:r>
      <w:r>
        <w:rPr>
          <w:rFonts w:hint="eastAsia" w:hAnsi="仿宋_GB2312" w:eastAsia="仿宋_GB2312" w:cs="仿宋_GB2312"/>
          <w:sz w:val="32"/>
          <w:szCs w:val="32"/>
          <w:highlight w:val="none"/>
          <w:lang w:val="zh-TW" w:eastAsia="zh-TW" w:bidi="zh-TW"/>
        </w:rPr>
        <w:t>乡村振兴人才培育力量。</w:t>
      </w:r>
      <w:r>
        <w:rPr>
          <w:rFonts w:hint="eastAsia" w:ascii="仿宋_GB2312" w:hAnsi="仿宋_GB2312" w:eastAsia="仿宋_GB2312" w:cs="仿宋_GB2312"/>
          <w:kern w:val="0"/>
          <w:sz w:val="32"/>
          <w:szCs w:val="22"/>
          <w:highlight w:val="none"/>
          <w:lang w:val="zh-TW" w:eastAsia="zh-TW" w:bidi="zh-TW"/>
        </w:rPr>
        <w:t>支持市域应用型本科院校建设乡村振兴产学研中心，开展技术研发、转化与应用，开展中职-高职-本科衔接贯通人才培养试点。支持职业院校与企业、地方共建产业学院、产教园区联合招生办学，推行订单班、现代学徒制、工学交替、学分制与弹性学制、线上线下结合、育训结合等教学组织形式，实行灵活而有质量的学业考核形式</w:t>
      </w:r>
      <w:r>
        <w:rPr>
          <w:rFonts w:hint="eastAsia" w:hAnsi="仿宋_GB2312" w:eastAsia="仿宋_GB2312" w:cs="仿宋_GB2312"/>
          <w:sz w:val="32"/>
          <w:szCs w:val="32"/>
          <w:highlight w:val="none"/>
          <w:lang w:val="zh-TW" w:eastAsia="zh-TW" w:bidi="zh-TW"/>
        </w:rPr>
        <w:t>。</w:t>
      </w:r>
    </w:p>
    <w:p>
      <w:pPr>
        <w:pStyle w:val="2"/>
        <w:spacing w:after="0" w:afterLines="0" w:line="600" w:lineRule="exact"/>
        <w:ind w:left="0" w:leftChars="0" w:firstLine="643"/>
        <w:rPr>
          <w:rFonts w:hint="eastAsia" w:ascii="仿宋_GB2312" w:hAnsi="仿宋_GB2312" w:eastAsia="仿宋_GB2312" w:cs="仿宋_GB2312"/>
          <w:highlight w:val="none"/>
        </w:rPr>
      </w:pPr>
      <w:r>
        <w:rPr>
          <w:rFonts w:hint="eastAsia" w:ascii="仿宋_GB2312" w:hAnsi="仿宋_GB2312" w:eastAsia="仿宋_GB2312" w:cs="仿宋_GB2312"/>
          <w:b/>
          <w:bCs/>
          <w:kern w:val="0"/>
          <w:sz w:val="32"/>
          <w:szCs w:val="22"/>
          <w:highlight w:val="none"/>
        </w:rPr>
        <w:t>开展农业职业教育培训</w:t>
      </w:r>
      <w:r>
        <w:rPr>
          <w:rFonts w:hint="eastAsia" w:ascii="仿宋_GB2312" w:hAnsi="仿宋_GB2312" w:eastAsia="仿宋_GB2312" w:cs="仿宋_GB2312"/>
          <w:sz w:val="32"/>
          <w:szCs w:val="32"/>
          <w:highlight w:val="none"/>
          <w:lang w:val="zh-TW" w:bidi="zh-TW"/>
        </w:rPr>
        <w:t>。</w:t>
      </w:r>
      <w:r>
        <w:rPr>
          <w:rFonts w:hint="eastAsia" w:ascii="仿宋_GB2312" w:hAnsi="仿宋_GB2312" w:eastAsia="仿宋_GB2312" w:cs="仿宋_GB2312"/>
          <w:sz w:val="32"/>
          <w:szCs w:val="32"/>
          <w:highlight w:val="none"/>
          <w:lang w:val="zh-TW" w:eastAsia="zh-TW" w:bidi="zh-TW"/>
        </w:rPr>
        <w:t>整合县域培训项目，强化职业院校开展职业技能培训的基本职能，支持职业院校开展补贴性培</w:t>
      </w:r>
      <w:r>
        <w:rPr>
          <w:rFonts w:hint="eastAsia" w:ascii="仿宋_GB2312" w:hAnsi="仿宋_GB2312" w:eastAsia="仿宋_GB2312" w:cs="仿宋_GB2312"/>
          <w:kern w:val="0"/>
          <w:sz w:val="32"/>
          <w:szCs w:val="22"/>
          <w:highlight w:val="none"/>
          <w:lang w:val="zh-TW" w:eastAsia="zh-TW" w:bidi="zh-TW"/>
        </w:rPr>
        <w:t>训。建立职业院校与政府、行业企业协同培训机制，“一校一品”打造乡村劳动力培训品牌，重点开展乡村旅游、家政服务、物流配送、养老服务、民俗文化</w:t>
      </w:r>
      <w:r>
        <w:rPr>
          <w:rFonts w:hint="eastAsia" w:ascii="仿宋_GB2312" w:hAnsi="仿宋_GB2312" w:eastAsia="仿宋_GB2312" w:cs="仿宋_GB2312"/>
          <w:sz w:val="32"/>
          <w:szCs w:val="32"/>
          <w:highlight w:val="none"/>
          <w:lang w:val="zh-TW" w:eastAsia="zh-TW" w:bidi="zh-TW"/>
        </w:rPr>
        <w:t>等培训</w:t>
      </w:r>
      <w:r>
        <w:rPr>
          <w:rFonts w:hint="eastAsia" w:ascii="仿宋_GB2312" w:hAnsi="仿宋_GB2312" w:eastAsia="仿宋_GB2312" w:cs="仿宋_GB2312"/>
          <w:sz w:val="32"/>
          <w:szCs w:val="32"/>
          <w:highlight w:val="none"/>
          <w:lang w:val="zh-TW" w:bidi="zh-TW"/>
        </w:rPr>
        <w:t>。</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255" w:name="_Toc25663"/>
      <w:bookmarkStart w:id="1256" w:name="_Toc4501"/>
      <w:bookmarkStart w:id="1257" w:name="_Toc16470"/>
      <w:bookmarkStart w:id="1258" w:name="_Toc21962"/>
      <w:bookmarkStart w:id="1259" w:name="_Toc14154"/>
      <w:bookmarkStart w:id="1260" w:name="_Toc17421"/>
      <w:bookmarkStart w:id="1261" w:name="_Toc4914"/>
      <w:bookmarkStart w:id="1262" w:name="_Toc27450"/>
      <w:bookmarkStart w:id="1263" w:name="_Toc9547"/>
      <w:bookmarkStart w:id="1264" w:name="_Toc9050"/>
      <w:bookmarkStart w:id="1265" w:name="_Toc8680"/>
      <w:bookmarkStart w:id="1266" w:name="_Toc24406"/>
      <w:bookmarkStart w:id="1267" w:name="_Toc26954"/>
      <w:bookmarkStart w:id="1268" w:name="_Toc12713"/>
      <w:bookmarkStart w:id="1269" w:name="_Toc21108"/>
      <w:r>
        <w:rPr>
          <w:rFonts w:hint="eastAsia" w:ascii="黑体" w:hAnsi="黑体" w:eastAsia="黑体" w:cs="黑体"/>
          <w:b w:val="0"/>
          <w:bCs w:val="0"/>
          <w:highlight w:val="none"/>
        </w:rPr>
        <w:t>二、加快提升农民职业素质</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autoSpaceDE w:val="0"/>
        <w:autoSpaceDN w:val="0"/>
        <w:adjustRightInd w:val="0"/>
        <w:spacing w:line="600" w:lineRule="exact"/>
        <w:ind w:firstLine="643" w:firstLineChars="200"/>
        <w:rPr>
          <w:rFonts w:hint="eastAsia" w:hAnsi="仿宋_GB2312" w:eastAsia="仿宋_GB2312" w:cs="仿宋_GB2312"/>
          <w:sz w:val="32"/>
          <w:szCs w:val="32"/>
          <w:highlight w:val="none"/>
          <w:lang w:val="zh-TW" w:eastAsia="zh-TW" w:bidi="zh-TW"/>
        </w:rPr>
      </w:pPr>
      <w:r>
        <w:rPr>
          <w:rFonts w:hint="eastAsia" w:hAnsi="仿宋_GB2312" w:eastAsia="仿宋_GB2312" w:cs="仿宋_GB2312"/>
          <w:b/>
          <w:bCs/>
          <w:sz w:val="32"/>
          <w:szCs w:val="32"/>
          <w:highlight w:val="none"/>
          <w:lang w:val="zh-TW" w:eastAsia="zh-TW" w:bidi="zh-TW"/>
        </w:rPr>
        <w:t>实施</w:t>
      </w:r>
      <w:r>
        <w:rPr>
          <w:rFonts w:hint="eastAsia" w:ascii="仿宋_GB2312" w:hAnsi="仿宋_GB2312" w:eastAsia="仿宋_GB2312" w:cs="仿宋_GB2312"/>
          <w:b/>
          <w:bCs/>
          <w:sz w:val="32"/>
          <w:szCs w:val="32"/>
          <w:highlight w:val="none"/>
          <w:lang w:val="zh-TW" w:eastAsia="zh-TW" w:bidi="zh-TW"/>
        </w:rPr>
        <w:t>“乡村工匠”工程</w:t>
      </w:r>
      <w:r>
        <w:rPr>
          <w:rFonts w:hint="eastAsia" w:ascii="仿宋_GB2312" w:hAnsi="仿宋_GB2312" w:eastAsia="仿宋_GB2312" w:cs="仿宋_GB2312"/>
          <w:sz w:val="32"/>
          <w:szCs w:val="32"/>
          <w:highlight w:val="none"/>
          <w:lang w:val="zh-TW" w:eastAsia="zh-TW" w:bidi="zh-TW"/>
        </w:rPr>
        <w:t>。</w:t>
      </w:r>
      <w:r>
        <w:rPr>
          <w:rFonts w:hint="eastAsia" w:hAnsi="仿宋_GB2312" w:eastAsia="仿宋_GB2312" w:cs="仿宋_GB2312"/>
          <w:sz w:val="32"/>
          <w:szCs w:val="32"/>
          <w:highlight w:val="none"/>
          <w:lang w:val="zh-TW" w:eastAsia="zh-TW" w:bidi="zh-TW"/>
        </w:rPr>
        <w:t>培育壮大乡村工匠队伍，培养一批满足农村发展需要的实用技能人才，</w:t>
      </w:r>
      <w:r>
        <w:rPr>
          <w:rFonts w:hint="eastAsia" w:ascii="仿宋_GB2312" w:hAnsi="仿宋_GB2312" w:eastAsia="仿宋_GB2312" w:cs="仿宋_GB2312"/>
          <w:kern w:val="0"/>
          <w:sz w:val="32"/>
          <w:szCs w:val="22"/>
          <w:highlight w:val="none"/>
          <w:lang w:val="zh-TW" w:eastAsia="zh-TW" w:bidi="zh-TW"/>
        </w:rPr>
        <w:t>发挥其带动就业创业、带领技艺传承、带强产业发展、带动群众致富的作用，助推乡村振兴。支持传统技艺人才创办特色企业，带动发展乡村特色手工业。建立健全乡村工匠培养标准和技能评价体系，重点扶持乡村需求较大的技能人才成长，制定乡土人才技能评价地方规范，完善以适用技能为重点、注重职业道德和知识水平的多元化</w:t>
      </w:r>
      <w:r>
        <w:rPr>
          <w:rFonts w:hint="eastAsia" w:hAnsi="仿宋_GB2312" w:eastAsia="仿宋_GB2312" w:cs="仿宋_GB2312"/>
          <w:sz w:val="32"/>
          <w:szCs w:val="32"/>
          <w:highlight w:val="none"/>
          <w:lang w:val="zh-TW" w:eastAsia="zh-TW" w:bidi="zh-TW"/>
        </w:rPr>
        <w:t>评价方式，规范开展乡村工匠职业资格评价、职业技能等级认定、专项职业能力考核。</w:t>
      </w:r>
    </w:p>
    <w:p>
      <w:pPr>
        <w:autoSpaceDE w:val="0"/>
        <w:autoSpaceDN w:val="0"/>
        <w:adjustRightInd w:val="0"/>
        <w:spacing w:line="600" w:lineRule="exact"/>
        <w:ind w:firstLine="643" w:firstLineChars="200"/>
        <w:rPr>
          <w:rFonts w:hint="eastAsia" w:hAnsi="仿宋_GB2312" w:eastAsia="仿宋_GB2312" w:cs="仿宋_GB2312"/>
          <w:sz w:val="32"/>
          <w:szCs w:val="32"/>
          <w:highlight w:val="none"/>
          <w:lang w:val="zh-TW" w:bidi="zh-TW"/>
        </w:rPr>
      </w:pPr>
      <w:r>
        <w:rPr>
          <w:rFonts w:hint="eastAsia" w:hAnsi="仿宋_GB2312" w:eastAsia="仿宋_GB2312" w:cs="仿宋_GB2312"/>
          <w:b/>
          <w:bCs/>
          <w:sz w:val="32"/>
          <w:szCs w:val="32"/>
          <w:highlight w:val="none"/>
          <w:lang w:val="zh-TW" w:eastAsia="zh-TW" w:bidi="zh-TW"/>
        </w:rPr>
        <w:t>扎实推进</w:t>
      </w:r>
      <w:r>
        <w:rPr>
          <w:rFonts w:hint="eastAsia" w:ascii="仿宋_GB2312" w:hAnsi="仿宋_GB2312" w:eastAsia="仿宋_GB2312" w:cs="仿宋_GB2312"/>
          <w:b/>
          <w:bCs/>
          <w:sz w:val="32"/>
          <w:szCs w:val="32"/>
          <w:highlight w:val="none"/>
          <w:lang w:val="zh-TW" w:eastAsia="zh-TW" w:bidi="zh-TW"/>
        </w:rPr>
        <w:t>“农村电商”工</w:t>
      </w:r>
      <w:r>
        <w:rPr>
          <w:rFonts w:hint="eastAsia" w:hAnsi="仿宋_GB2312" w:eastAsia="仿宋_GB2312" w:cs="仿宋_GB2312"/>
          <w:b/>
          <w:bCs/>
          <w:sz w:val="32"/>
          <w:szCs w:val="32"/>
          <w:highlight w:val="none"/>
          <w:lang w:val="zh-TW" w:eastAsia="zh-TW" w:bidi="zh-TW"/>
        </w:rPr>
        <w:t>程</w:t>
      </w:r>
      <w:r>
        <w:rPr>
          <w:rFonts w:hint="eastAsia" w:hAnsi="仿宋_GB2312" w:eastAsia="仿宋_GB2312" w:cs="仿宋_GB2312"/>
          <w:sz w:val="32"/>
          <w:szCs w:val="32"/>
          <w:highlight w:val="none"/>
          <w:lang w:val="zh-TW" w:eastAsia="zh-TW" w:bidi="zh-TW"/>
        </w:rPr>
        <w:t>。围绕服务乡村振兴发展总目标，落实农村电商技能人才培训和就业创业扶持政策措</w:t>
      </w:r>
      <w:r>
        <w:rPr>
          <w:rFonts w:hint="eastAsia" w:ascii="仿宋_GB2312" w:hAnsi="仿宋_GB2312" w:eastAsia="仿宋_GB2312" w:cs="仿宋_GB2312"/>
          <w:kern w:val="0"/>
          <w:sz w:val="32"/>
          <w:szCs w:val="22"/>
          <w:highlight w:val="none"/>
          <w:lang w:val="zh-TW" w:eastAsia="zh-TW" w:bidi="zh-TW"/>
        </w:rPr>
        <w:t>施，激发农村电商在扶持创业、吸纳就业、脱贫增收等方面的重要作用</w:t>
      </w:r>
      <w:r>
        <w:rPr>
          <w:rFonts w:hint="eastAsia" w:ascii="仿宋_GB2312" w:hAnsi="仿宋_GB2312" w:eastAsia="仿宋_GB2312" w:cs="仿宋_GB2312"/>
          <w:kern w:val="0"/>
          <w:sz w:val="32"/>
          <w:szCs w:val="22"/>
          <w:highlight w:val="none"/>
          <w:lang w:val="zh-TW" w:bidi="zh-TW"/>
        </w:rPr>
        <w:t>。</w:t>
      </w:r>
      <w:r>
        <w:rPr>
          <w:rFonts w:hint="eastAsia" w:ascii="仿宋_GB2312" w:hAnsi="仿宋_GB2312" w:eastAsia="仿宋_GB2312" w:cs="仿宋_GB2312"/>
          <w:kern w:val="0"/>
          <w:sz w:val="32"/>
          <w:szCs w:val="22"/>
          <w:highlight w:val="none"/>
          <w:lang w:val="zh-TW" w:eastAsia="zh-TW" w:bidi="zh-TW"/>
        </w:rPr>
        <w:t>完善农村电子商务服务平台建设，积极开展“百园万站”专项行动，力</w:t>
      </w:r>
      <w:r>
        <w:rPr>
          <w:rFonts w:hint="eastAsia" w:hAnsi="仿宋_GB2312" w:eastAsia="仿宋_GB2312" w:cs="仿宋_GB2312"/>
          <w:sz w:val="32"/>
          <w:szCs w:val="32"/>
          <w:highlight w:val="none"/>
          <w:lang w:val="zh-TW" w:eastAsia="zh-TW" w:bidi="zh-TW"/>
        </w:rPr>
        <w:t>争建成1个农村电商产业园</w:t>
      </w:r>
      <w:r>
        <w:rPr>
          <w:rFonts w:hint="eastAsia" w:hAnsi="仿宋_GB2312" w:eastAsia="仿宋_GB2312" w:cs="仿宋_GB2312"/>
          <w:sz w:val="32"/>
          <w:szCs w:val="32"/>
          <w:highlight w:val="none"/>
          <w:lang w:val="zh-TW" w:bidi="zh-TW"/>
        </w:rPr>
        <w:t>、</w:t>
      </w:r>
      <w:r>
        <w:rPr>
          <w:rFonts w:hint="eastAsia" w:hAnsi="仿宋_GB2312" w:eastAsia="仿宋_GB2312" w:cs="仿宋_GB2312"/>
          <w:sz w:val="32"/>
          <w:szCs w:val="32"/>
          <w:highlight w:val="none"/>
          <w:lang w:val="zh-TW" w:eastAsia="zh-TW" w:bidi="zh-TW"/>
        </w:rPr>
        <w:t>60个省级农</w:t>
      </w:r>
      <w:r>
        <w:rPr>
          <w:rFonts w:hint="eastAsia" w:ascii="仿宋_GB2312" w:hAnsi="仿宋_GB2312" w:eastAsia="仿宋_GB2312" w:cs="仿宋_GB2312"/>
          <w:kern w:val="0"/>
          <w:sz w:val="32"/>
          <w:szCs w:val="22"/>
          <w:highlight w:val="none"/>
          <w:lang w:val="zh-TW" w:eastAsia="zh-TW" w:bidi="zh-TW"/>
        </w:rPr>
        <w:t>村电商示范站。实施“互联网+农业”计划，打通农村电商“人、品、网、店”全链条，打造茂名优质农产品品牌。发挥农村电商“一村一品”效应，构建标准体系、品牌体系、产业体系、生态体系，带动“农村电商”工程高质量</w:t>
      </w:r>
      <w:r>
        <w:rPr>
          <w:rFonts w:hint="eastAsia" w:hAnsi="仿宋_GB2312" w:eastAsia="仿宋_GB2312" w:cs="仿宋_GB2312"/>
          <w:sz w:val="32"/>
          <w:szCs w:val="32"/>
          <w:highlight w:val="none"/>
          <w:lang w:val="zh-TW" w:eastAsia="zh-TW" w:bidi="zh-TW"/>
        </w:rPr>
        <w:t>发展</w:t>
      </w:r>
      <w:r>
        <w:rPr>
          <w:rFonts w:hint="eastAsia" w:hAnsi="仿宋_GB2312" w:eastAsia="仿宋_GB2312" w:cs="仿宋_GB2312"/>
          <w:sz w:val="32"/>
          <w:szCs w:val="32"/>
          <w:highlight w:val="none"/>
          <w:lang w:val="zh-TW" w:bidi="zh-TW"/>
        </w:rPr>
        <w:t>。</w:t>
      </w:r>
    </w:p>
    <w:p>
      <w:pPr>
        <w:autoSpaceDE w:val="0"/>
        <w:autoSpaceDN w:val="0"/>
        <w:adjustRightInd w:val="0"/>
        <w:spacing w:line="600" w:lineRule="exact"/>
        <w:ind w:firstLine="643" w:firstLineChars="200"/>
        <w:rPr>
          <w:rFonts w:hint="eastAsia" w:ascii="仿宋_GB2312" w:hAnsi="仿宋_GB2312" w:eastAsia="仿宋_GB2312" w:cs="仿宋_GB2312"/>
          <w:kern w:val="0"/>
          <w:sz w:val="32"/>
          <w:szCs w:val="22"/>
          <w:highlight w:val="none"/>
          <w:lang w:val="zh-TW" w:eastAsia="zh-TW" w:bidi="zh-TW"/>
        </w:rPr>
      </w:pPr>
      <w:r>
        <w:rPr>
          <w:rFonts w:hint="eastAsia" w:hAnsi="仿宋_GB2312" w:eastAsia="仿宋_GB2312" w:cs="仿宋_GB2312"/>
          <w:b/>
          <w:bCs/>
          <w:sz w:val="32"/>
          <w:szCs w:val="32"/>
          <w:highlight w:val="none"/>
          <w:lang w:val="zh-TW" w:bidi="zh-TW"/>
        </w:rPr>
        <w:t>拓</w:t>
      </w:r>
      <w:r>
        <w:rPr>
          <w:rFonts w:hint="eastAsia" w:ascii="仿宋_GB2312" w:hAnsi="仿宋_GB2312" w:eastAsia="仿宋_GB2312" w:cs="仿宋_GB2312"/>
          <w:b/>
          <w:bCs/>
          <w:sz w:val="32"/>
          <w:szCs w:val="32"/>
          <w:highlight w:val="none"/>
          <w:lang w:val="zh-TW" w:bidi="zh-TW"/>
        </w:rPr>
        <w:t>展“双区”市</w:t>
      </w:r>
      <w:r>
        <w:rPr>
          <w:rFonts w:hint="eastAsia" w:hAnsi="仿宋_GB2312" w:eastAsia="仿宋_GB2312" w:cs="仿宋_GB2312"/>
          <w:b/>
          <w:bCs/>
          <w:sz w:val="32"/>
          <w:szCs w:val="32"/>
          <w:highlight w:val="none"/>
          <w:lang w:val="zh-TW" w:bidi="zh-TW"/>
        </w:rPr>
        <w:t>场</w:t>
      </w:r>
      <w:r>
        <w:rPr>
          <w:rFonts w:hint="eastAsia" w:hAnsi="仿宋_GB2312" w:eastAsia="仿宋_GB2312" w:cs="仿宋_GB2312"/>
          <w:szCs w:val="32"/>
          <w:highlight w:val="none"/>
          <w:lang w:bidi="zh-TW"/>
        </w:rPr>
        <w:t>。</w:t>
      </w:r>
      <w:r>
        <w:rPr>
          <w:rFonts w:hint="eastAsia" w:ascii="仿宋_GB2312" w:hAnsi="仿宋_GB2312" w:eastAsia="仿宋_GB2312" w:cs="仿宋_GB2312"/>
          <w:kern w:val="0"/>
          <w:sz w:val="32"/>
          <w:szCs w:val="22"/>
          <w:highlight w:val="none"/>
          <w:lang w:val="zh-TW" w:eastAsia="zh-TW" w:bidi="zh-TW"/>
        </w:rPr>
        <w:t>依托“粤菜师傅”“广东技工”“好心家政”拓展“双区”市场</w:t>
      </w:r>
      <w:r>
        <w:rPr>
          <w:rFonts w:hint="eastAsia" w:ascii="仿宋_GB2312" w:hAnsi="仿宋_GB2312" w:eastAsia="仿宋_GB2312" w:cs="仿宋_GB2312"/>
          <w:kern w:val="0"/>
          <w:sz w:val="32"/>
          <w:szCs w:val="22"/>
          <w:highlight w:val="none"/>
          <w:lang w:val="zh-TW" w:bidi="zh-TW"/>
        </w:rPr>
        <w:t>，</w:t>
      </w:r>
      <w:r>
        <w:rPr>
          <w:rFonts w:hint="eastAsia" w:ascii="仿宋_GB2312" w:hAnsi="仿宋_GB2312" w:eastAsia="仿宋_GB2312" w:cs="仿宋_GB2312"/>
          <w:kern w:val="0"/>
          <w:sz w:val="32"/>
          <w:szCs w:val="22"/>
          <w:highlight w:val="none"/>
          <w:lang w:val="zh-TW" w:eastAsia="zh-TW" w:bidi="zh-TW"/>
        </w:rPr>
        <w:t>深化茂名市与大湾区的劳务合作。积极推进“粤菜师傅”工程，推行“粤</w:t>
      </w:r>
      <w:r>
        <w:rPr>
          <w:rFonts w:hint="eastAsia" w:ascii="仿宋_GB2312" w:hAnsi="仿宋_GB2312" w:eastAsia="仿宋_GB2312" w:cs="仿宋_GB2312"/>
          <w:kern w:val="0"/>
          <w:sz w:val="32"/>
          <w:szCs w:val="22"/>
          <w:highlight w:val="none"/>
          <w:lang w:bidi="zh-TW"/>
        </w:rPr>
        <w:t>菜</w:t>
      </w:r>
      <w:r>
        <w:rPr>
          <w:rFonts w:hint="eastAsia" w:ascii="仿宋_GB2312" w:hAnsi="仿宋_GB2312" w:eastAsia="仿宋_GB2312" w:cs="仿宋_GB2312"/>
          <w:kern w:val="0"/>
          <w:sz w:val="32"/>
          <w:szCs w:val="22"/>
          <w:highlight w:val="none"/>
          <w:lang w:val="zh-TW" w:eastAsia="zh-TW" w:bidi="zh-TW"/>
        </w:rPr>
        <w:t>师傅</w:t>
      </w:r>
      <w:r>
        <w:rPr>
          <w:rFonts w:hint="eastAsia" w:ascii="仿宋_GB2312" w:hAnsi="仿宋_GB2312" w:eastAsia="仿宋_GB2312" w:cs="仿宋_GB2312"/>
          <w:kern w:val="0"/>
          <w:sz w:val="32"/>
          <w:szCs w:val="22"/>
          <w:highlight w:val="none"/>
          <w:lang w:bidi="zh-TW"/>
        </w:rPr>
        <w:t>+</w:t>
      </w:r>
      <w:r>
        <w:rPr>
          <w:rFonts w:hint="eastAsia" w:ascii="仿宋_GB2312" w:hAnsi="仿宋_GB2312" w:eastAsia="仿宋_GB2312" w:cs="仿宋_GB2312"/>
          <w:kern w:val="0"/>
          <w:sz w:val="32"/>
          <w:szCs w:val="22"/>
          <w:highlight w:val="none"/>
          <w:lang w:val="zh-TW" w:eastAsia="zh-TW" w:bidi="zh-TW"/>
        </w:rPr>
        <w:t>乡村文化旅游”发展模式，加大就业创业扶持力度，支持粤</w:t>
      </w:r>
      <w:r>
        <w:rPr>
          <w:rFonts w:hint="eastAsia" w:ascii="仿宋_GB2312" w:hAnsi="仿宋_GB2312" w:eastAsia="仿宋_GB2312" w:cs="仿宋_GB2312"/>
          <w:kern w:val="0"/>
          <w:sz w:val="32"/>
          <w:szCs w:val="22"/>
          <w:highlight w:val="none"/>
          <w:lang w:bidi="zh-TW"/>
        </w:rPr>
        <w:t>菜</w:t>
      </w:r>
      <w:r>
        <w:rPr>
          <w:rFonts w:hint="eastAsia" w:ascii="仿宋_GB2312" w:hAnsi="仿宋_GB2312" w:eastAsia="仿宋_GB2312" w:cs="仿宋_GB2312"/>
          <w:kern w:val="0"/>
          <w:sz w:val="32"/>
          <w:szCs w:val="22"/>
          <w:highlight w:val="none"/>
          <w:lang w:val="zh-TW" w:eastAsia="zh-TW" w:bidi="zh-TW"/>
        </w:rPr>
        <w:t>师傅回乡开办农家乐、餐馆。加强与“双区”酒店企业交流，促进“粤菜师傅”到“双区”就业。大力实施“广东技工”工程，培养高质量技工队伍，提升技工院校办学水平，优化专业设置，增加满足现代产业需求的专业数量，加大重点专业建设力度，服务“双区”发展。全面打造茂名“好心家政”品牌，发挥</w:t>
      </w:r>
      <w:r>
        <w:rPr>
          <w:rFonts w:hint="eastAsia" w:ascii="仿宋_GB2312" w:hAnsi="仿宋_GB2312" w:eastAsia="仿宋_GB2312" w:cs="仿宋_GB2312"/>
          <w:kern w:val="0"/>
          <w:sz w:val="32"/>
          <w:szCs w:val="22"/>
          <w:highlight w:val="none"/>
          <w:lang w:val="zh-TW" w:bidi="zh-TW"/>
        </w:rPr>
        <w:t>“</w:t>
      </w:r>
      <w:r>
        <w:rPr>
          <w:rFonts w:hint="eastAsia" w:ascii="仿宋_GB2312" w:hAnsi="仿宋_GB2312" w:eastAsia="仿宋_GB2312" w:cs="仿宋_GB2312"/>
          <w:kern w:val="0"/>
          <w:sz w:val="32"/>
          <w:szCs w:val="22"/>
          <w:highlight w:val="none"/>
          <w:lang w:val="zh-TW" w:eastAsia="zh-TW" w:bidi="zh-TW"/>
        </w:rPr>
        <w:t>南粤家政</w:t>
      </w:r>
      <w:r>
        <w:rPr>
          <w:rFonts w:hint="eastAsia" w:ascii="仿宋_GB2312" w:hAnsi="仿宋_GB2312" w:eastAsia="仿宋_GB2312" w:cs="仿宋_GB2312"/>
          <w:kern w:val="0"/>
          <w:sz w:val="32"/>
          <w:szCs w:val="22"/>
          <w:highlight w:val="none"/>
          <w:lang w:val="zh-TW" w:bidi="zh-TW"/>
        </w:rPr>
        <w:t>”</w:t>
      </w:r>
      <w:r>
        <w:rPr>
          <w:rFonts w:hint="eastAsia" w:ascii="仿宋_GB2312" w:hAnsi="仿宋_GB2312" w:eastAsia="仿宋_GB2312" w:cs="仿宋_GB2312"/>
          <w:kern w:val="0"/>
          <w:sz w:val="32"/>
          <w:szCs w:val="22"/>
          <w:highlight w:val="none"/>
          <w:lang w:val="zh-TW" w:eastAsia="zh-TW" w:bidi="zh-TW"/>
        </w:rPr>
        <w:t>综合培训就业示范基地作用，加快与“双区”培训和就业合作对接，满足市场对高端家政服务</w:t>
      </w:r>
      <w:r>
        <w:rPr>
          <w:rFonts w:hint="eastAsia" w:ascii="仿宋_GB2312" w:hAnsi="仿宋_GB2312" w:eastAsia="仿宋_GB2312" w:cs="仿宋_GB2312"/>
          <w:kern w:val="0"/>
          <w:sz w:val="32"/>
          <w:szCs w:val="22"/>
          <w:highlight w:val="none"/>
          <w:lang w:val="zh-TW" w:bidi="zh-TW"/>
        </w:rPr>
        <w:t>的</w:t>
      </w:r>
      <w:r>
        <w:rPr>
          <w:rFonts w:hint="eastAsia" w:ascii="仿宋_GB2312" w:hAnsi="仿宋_GB2312" w:eastAsia="仿宋_GB2312" w:cs="仿宋_GB2312"/>
          <w:kern w:val="0"/>
          <w:sz w:val="32"/>
          <w:szCs w:val="22"/>
          <w:highlight w:val="none"/>
          <w:lang w:val="zh-TW" w:eastAsia="zh-TW" w:bidi="zh-TW"/>
        </w:rPr>
        <w:t>需求。</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270" w:name="_Toc14245"/>
      <w:bookmarkStart w:id="1271" w:name="_Toc24282"/>
      <w:bookmarkStart w:id="1272" w:name="_Toc9934"/>
      <w:bookmarkStart w:id="1273" w:name="_Toc29284"/>
      <w:bookmarkStart w:id="1274" w:name="_Toc18811"/>
      <w:bookmarkStart w:id="1275" w:name="_Toc28088"/>
      <w:bookmarkStart w:id="1276" w:name="_Toc13775"/>
      <w:bookmarkStart w:id="1277" w:name="_Toc23392"/>
      <w:bookmarkStart w:id="1278" w:name="_Toc6118"/>
      <w:bookmarkStart w:id="1279" w:name="_Toc31104"/>
      <w:bookmarkStart w:id="1280" w:name="_Toc31730"/>
      <w:bookmarkStart w:id="1281" w:name="_Toc22080"/>
      <w:bookmarkStart w:id="1282" w:name="_Toc29571"/>
      <w:bookmarkStart w:id="1283" w:name="_Toc26556"/>
      <w:r>
        <w:rPr>
          <w:rFonts w:hint="eastAsia" w:ascii="黑体" w:hAnsi="黑体" w:eastAsia="黑体" w:cs="黑体"/>
          <w:b w:val="0"/>
          <w:bCs w:val="0"/>
          <w:highlight w:val="none"/>
        </w:rPr>
        <w:t>三、全面发展农村科普教育</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pPr>
        <w:autoSpaceDE w:val="0"/>
        <w:autoSpaceDN w:val="0"/>
        <w:adjustRightInd w:val="0"/>
        <w:spacing w:line="600" w:lineRule="exact"/>
        <w:ind w:firstLine="640" w:firstLineChars="200"/>
        <w:rPr>
          <w:rFonts w:hint="eastAsia" w:hAnsi="仿宋_GB2312" w:eastAsia="仿宋_GB2312" w:cs="仿宋_GB2312"/>
          <w:sz w:val="32"/>
          <w:szCs w:val="32"/>
          <w:highlight w:val="none"/>
          <w:lang w:val="zh-TW" w:bidi="zh-TW"/>
        </w:rPr>
      </w:pPr>
      <w:r>
        <w:rPr>
          <w:rFonts w:hint="eastAsia" w:hAnsi="仿宋_GB2312" w:eastAsia="仿宋_GB2312" w:cs="仿宋_GB2312"/>
          <w:sz w:val="32"/>
          <w:szCs w:val="32"/>
          <w:highlight w:val="none"/>
          <w:lang w:val="zh-TW" w:eastAsia="zh-TW" w:bidi="zh-TW"/>
        </w:rPr>
        <w:t>充分</w:t>
      </w:r>
      <w:r>
        <w:rPr>
          <w:rFonts w:hint="eastAsia" w:ascii="仿宋_GB2312" w:hAnsi="仿宋_GB2312" w:eastAsia="仿宋_GB2312" w:cs="仿宋_GB2312"/>
          <w:kern w:val="0"/>
          <w:sz w:val="32"/>
          <w:szCs w:val="22"/>
          <w:highlight w:val="none"/>
          <w:lang w:val="zh-TW" w:eastAsia="zh-TW" w:bidi="zh-TW"/>
        </w:rPr>
        <w:t>发挥手机“新农具”科普效用，利用</w:t>
      </w:r>
      <w:r>
        <w:rPr>
          <w:rFonts w:hint="eastAsia" w:hAnsi="仿宋_GB2312" w:eastAsia="仿宋_GB2312" w:cs="仿宋_GB2312"/>
          <w:sz w:val="32"/>
          <w:szCs w:val="32"/>
          <w:highlight w:val="none"/>
          <w:lang w:val="zh-TW" w:eastAsia="zh-TW" w:bidi="zh-TW"/>
        </w:rPr>
        <w:t>移动互联网与农民培训的跨</w:t>
      </w:r>
      <w:r>
        <w:rPr>
          <w:rFonts w:hint="eastAsia" w:ascii="仿宋_GB2312" w:hAnsi="仿宋_GB2312" w:eastAsia="仿宋_GB2312" w:cs="仿宋_GB2312"/>
          <w:kern w:val="0"/>
          <w:sz w:val="32"/>
          <w:szCs w:val="22"/>
          <w:highlight w:val="none"/>
          <w:lang w:val="zh-TW" w:eastAsia="zh-TW" w:bidi="zh-TW"/>
        </w:rPr>
        <w:t>界融合</w:t>
      </w:r>
      <w:r>
        <w:rPr>
          <w:rFonts w:hint="eastAsia" w:ascii="仿宋_GB2312" w:hAnsi="仿宋_GB2312" w:eastAsia="仿宋_GB2312" w:cs="仿宋_GB2312"/>
          <w:kern w:val="0"/>
          <w:sz w:val="32"/>
          <w:szCs w:val="22"/>
          <w:highlight w:val="none"/>
          <w:lang w:val="zh-TW" w:bidi="zh-TW"/>
        </w:rPr>
        <w:t>，</w:t>
      </w:r>
      <w:r>
        <w:rPr>
          <w:rFonts w:hint="eastAsia" w:ascii="仿宋_GB2312" w:hAnsi="仿宋_GB2312" w:eastAsia="仿宋_GB2312" w:cs="仿宋_GB2312"/>
          <w:kern w:val="0"/>
          <w:sz w:val="32"/>
          <w:szCs w:val="22"/>
          <w:highlight w:val="none"/>
          <w:lang w:val="zh-TW" w:eastAsia="zh-TW" w:bidi="zh-TW"/>
        </w:rPr>
        <w:t>采取线上线下相结合的形式在全</w:t>
      </w:r>
      <w:r>
        <w:rPr>
          <w:rFonts w:hint="eastAsia" w:ascii="仿宋_GB2312" w:hAnsi="仿宋_GB2312" w:eastAsia="仿宋_GB2312" w:cs="仿宋_GB2312"/>
          <w:kern w:val="0"/>
          <w:sz w:val="32"/>
          <w:szCs w:val="22"/>
          <w:highlight w:val="none"/>
          <w:lang w:bidi="zh-TW"/>
        </w:rPr>
        <w:t>市</w:t>
      </w:r>
      <w:r>
        <w:rPr>
          <w:rFonts w:hint="eastAsia" w:ascii="仿宋_GB2312" w:hAnsi="仿宋_GB2312" w:eastAsia="仿宋_GB2312" w:cs="仿宋_GB2312"/>
          <w:kern w:val="0"/>
          <w:sz w:val="32"/>
          <w:szCs w:val="22"/>
          <w:highlight w:val="none"/>
          <w:lang w:val="zh-TW" w:eastAsia="zh-TW" w:bidi="zh-TW"/>
        </w:rPr>
        <w:t>范围开展农民技能培训。鼓励地方科协及相关部门编创科普惠农系列制品。依托“三农”科普类宣传媒体等平台，重点支持通俗易懂、适合农民生产生活需求的乡村振兴农民科学素质提升系列作品创作；充分发挥全国学会、涉农科研院校</w:t>
      </w:r>
      <w:r>
        <w:rPr>
          <w:rFonts w:hint="eastAsia" w:hAnsi="仿宋_GB2312" w:eastAsia="仿宋_GB2312" w:cs="仿宋_GB2312"/>
          <w:sz w:val="32"/>
          <w:szCs w:val="32"/>
          <w:highlight w:val="none"/>
          <w:lang w:val="zh-TW" w:eastAsia="zh-TW" w:bidi="zh-TW"/>
        </w:rPr>
        <w:t>的智力优势和人才优势，</w:t>
      </w:r>
      <w:r>
        <w:rPr>
          <w:rFonts w:hint="eastAsia" w:ascii="仿宋_GB2312" w:hAnsi="仿宋_GB2312" w:eastAsia="仿宋_GB2312" w:cs="仿宋_GB2312"/>
          <w:kern w:val="0"/>
          <w:sz w:val="32"/>
          <w:szCs w:val="22"/>
          <w:highlight w:val="none"/>
          <w:lang w:val="zh-TW" w:eastAsia="zh-TW" w:bidi="zh-TW"/>
        </w:rPr>
        <w:t>鼓励各类科技人才对接地方科协和农业农村系统，为基层农业生产、农村发展、农技服务等提供指导和支持。推进乡村科普设施融合建设，将科普设施纳入农村综合服务设施、基层综合性文化中心等建设中，加强农村社区科普服务能力。遴选推介乡村振兴科普示范基地。通过集成统筹的方式，引导农业科普基地转型升级，遴选推介出包括</w:t>
      </w:r>
      <w:r>
        <w:rPr>
          <w:rFonts w:hint="eastAsia" w:ascii="仿宋_GB2312" w:hAnsi="仿宋_GB2312" w:eastAsia="仿宋_GB2312" w:cs="仿宋_GB2312"/>
          <w:kern w:val="0"/>
          <w:sz w:val="32"/>
          <w:szCs w:val="22"/>
          <w:highlight w:val="none"/>
          <w:lang w:bidi="zh-TW"/>
        </w:rPr>
        <w:t>高素质</w:t>
      </w:r>
      <w:r>
        <w:rPr>
          <w:rFonts w:hint="eastAsia" w:ascii="仿宋_GB2312" w:hAnsi="仿宋_GB2312" w:eastAsia="仿宋_GB2312" w:cs="仿宋_GB2312"/>
          <w:kern w:val="0"/>
          <w:sz w:val="32"/>
          <w:szCs w:val="22"/>
          <w:highlight w:val="none"/>
          <w:lang w:val="zh-TW" w:eastAsia="zh-TW" w:bidi="zh-TW"/>
        </w:rPr>
        <w:t>农民培训、青少年农</w:t>
      </w:r>
      <w:r>
        <w:rPr>
          <w:rFonts w:hint="eastAsia" w:hAnsi="仿宋_GB2312" w:eastAsia="仿宋_GB2312" w:cs="仿宋_GB2312"/>
          <w:sz w:val="32"/>
          <w:szCs w:val="32"/>
          <w:highlight w:val="none"/>
          <w:lang w:val="zh-TW" w:eastAsia="zh-TW" w:bidi="zh-TW"/>
        </w:rPr>
        <w:t>业科普教育、农业教学科研、农业观光等类型的农业科普示范基地。到2025年，遴选推介100个乡村振兴科普示范基地</w:t>
      </w:r>
      <w:r>
        <w:rPr>
          <w:rFonts w:hint="eastAsia" w:hAnsi="仿宋_GB2312" w:eastAsia="仿宋_GB2312" w:cs="仿宋_GB2312"/>
          <w:sz w:val="32"/>
          <w:szCs w:val="32"/>
          <w:highlight w:val="none"/>
          <w:lang w:val="zh-TW" w:bidi="zh-TW"/>
        </w:rPr>
        <w:t>。</w:t>
      </w:r>
    </w:p>
    <w:p>
      <w:pPr>
        <w:pStyle w:val="5"/>
        <w:spacing w:before="0" w:beforeLines="0" w:after="0" w:afterLines="0" w:line="600" w:lineRule="exact"/>
        <w:jc w:val="center"/>
        <w:rPr>
          <w:rFonts w:ascii="Times New Roman" w:hAnsi="Times New Roman" w:eastAsia="黑体"/>
          <w:b w:val="0"/>
          <w:bCs w:val="0"/>
          <w:sz w:val="32"/>
          <w:highlight w:val="none"/>
        </w:rPr>
      </w:pPr>
      <w:bookmarkStart w:id="1284" w:name="_Toc15157"/>
      <w:bookmarkStart w:id="1285" w:name="_Toc9429"/>
      <w:bookmarkStart w:id="1286" w:name="_Toc11668"/>
      <w:bookmarkStart w:id="1287" w:name="_Toc20419"/>
      <w:bookmarkStart w:id="1288" w:name="_Toc21420"/>
      <w:bookmarkStart w:id="1289" w:name="_Toc26310"/>
      <w:bookmarkStart w:id="1290" w:name="_Toc29236"/>
      <w:bookmarkStart w:id="1291" w:name="_Toc18564"/>
      <w:bookmarkStart w:id="1292" w:name="_Toc15382"/>
      <w:bookmarkStart w:id="1293" w:name="_Toc15705"/>
      <w:bookmarkStart w:id="1294" w:name="_Toc15750"/>
      <w:bookmarkStart w:id="1295" w:name="_Toc31169"/>
      <w:bookmarkStart w:id="1296" w:name="_Toc21849"/>
      <w:bookmarkStart w:id="1297" w:name="_Toc22621"/>
      <w:bookmarkStart w:id="1298" w:name="_Toc18863"/>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第二节  加快提升农民精神风貌</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299" w:name="_Toc18490"/>
      <w:bookmarkStart w:id="1300" w:name="_Toc27895"/>
      <w:bookmarkStart w:id="1301" w:name="_Toc9836"/>
      <w:bookmarkStart w:id="1302" w:name="_Toc28414"/>
      <w:bookmarkStart w:id="1303" w:name="_Toc27425"/>
      <w:bookmarkStart w:id="1304" w:name="_Toc9554"/>
      <w:bookmarkStart w:id="1305" w:name="_Toc30311"/>
      <w:bookmarkStart w:id="1306" w:name="_Toc11354"/>
      <w:bookmarkStart w:id="1307" w:name="_Toc5947"/>
      <w:bookmarkStart w:id="1308" w:name="_Toc21414"/>
      <w:bookmarkStart w:id="1309" w:name="_Toc15320"/>
      <w:bookmarkStart w:id="1310" w:name="_Toc18958"/>
      <w:bookmarkStart w:id="1311" w:name="_Toc4290"/>
      <w:bookmarkStart w:id="1312" w:name="_Toc9467"/>
      <w:bookmarkStart w:id="1313" w:name="_Toc14003"/>
      <w:r>
        <w:rPr>
          <w:rFonts w:hint="eastAsia" w:ascii="黑体" w:hAnsi="黑体" w:eastAsia="黑体" w:cs="黑体"/>
          <w:b w:val="0"/>
          <w:bCs w:val="0"/>
          <w:highlight w:val="none"/>
        </w:rPr>
        <w:t>一、全面提升农村社会文明程度</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pPr>
        <w:pStyle w:val="21"/>
        <w:tabs>
          <w:tab w:val="left" w:pos="1643"/>
        </w:tabs>
        <w:spacing w:after="0" w:afterLines="0" w:line="600" w:lineRule="exact"/>
        <w:ind w:firstLine="8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eastAsia="zh-CN"/>
        </w:rPr>
        <w:t>大力推进</w:t>
      </w:r>
      <w:r>
        <w:rPr>
          <w:rFonts w:hint="eastAsia" w:ascii="仿宋_GB2312" w:hAnsi="仿宋_GB2312" w:eastAsia="仿宋_GB2312" w:cs="仿宋_GB2312"/>
          <w:b/>
          <w:bCs/>
          <w:sz w:val="32"/>
          <w:szCs w:val="32"/>
          <w:highlight w:val="none"/>
          <w:lang w:val="en-US" w:eastAsia="zh-CN"/>
        </w:rPr>
        <w:t>社会主义</w:t>
      </w:r>
      <w:r>
        <w:rPr>
          <w:rFonts w:hint="eastAsia" w:ascii="仿宋_GB2312" w:hAnsi="仿宋_GB2312" w:eastAsia="仿宋_GB2312" w:cs="仿宋_GB2312"/>
          <w:b/>
          <w:bCs/>
          <w:sz w:val="32"/>
          <w:szCs w:val="32"/>
          <w:highlight w:val="none"/>
          <w:lang w:eastAsia="zh-CN"/>
        </w:rPr>
        <w:t>核心价值观宣传教育。</w:t>
      </w:r>
      <w:r>
        <w:rPr>
          <w:rFonts w:hint="eastAsia" w:ascii="仿宋_GB2312" w:hAnsi="仿宋_GB2312" w:eastAsia="仿宋_GB2312" w:cs="仿宋_GB2312"/>
          <w:sz w:val="32"/>
          <w:szCs w:val="32"/>
          <w:highlight w:val="none"/>
          <w:lang w:eastAsia="zh-CN"/>
        </w:rPr>
        <w:t>坚持教育引导、实践养</w:t>
      </w:r>
      <w:r>
        <w:rPr>
          <w:rFonts w:hint="eastAsia" w:ascii="仿宋_GB2312" w:hAnsi="仿宋_GB2312" w:eastAsia="仿宋_GB2312" w:cs="仿宋_GB2312"/>
          <w:kern w:val="0"/>
          <w:sz w:val="32"/>
          <w:szCs w:val="22"/>
          <w:highlight w:val="none"/>
          <w:lang w:val="en-US" w:eastAsia="zh-CN" w:bidi="ar-SA"/>
        </w:rPr>
        <w:t>成、制度保障三管齐下，采取符合农村特点的方式方法和载体，加强农村社会主义核心价值观的研究、阐释、宣传，持续创作生产核心价值观文化产品、刊发核心价值观公益广告，深入乡村开展社会主义核心价值观教育。</w:t>
      </w:r>
      <w:r>
        <w:rPr>
          <w:rFonts w:hint="eastAsia" w:ascii="仿宋_GB2312" w:hAnsi="仿宋_GB2312" w:eastAsia="仿宋_GB2312" w:cs="仿宋_GB2312"/>
          <w:sz w:val="32"/>
          <w:szCs w:val="32"/>
          <w:highlight w:val="none"/>
          <w:lang w:eastAsia="zh-CN"/>
        </w:rPr>
        <w:t>丰富社会主义</w:t>
      </w:r>
      <w:r>
        <w:rPr>
          <w:rFonts w:hint="eastAsia" w:ascii="仿宋_GB2312" w:hAnsi="仿宋_GB2312" w:eastAsia="仿宋_GB2312" w:cs="仿宋_GB2312"/>
          <w:kern w:val="0"/>
          <w:sz w:val="32"/>
          <w:szCs w:val="22"/>
          <w:highlight w:val="none"/>
          <w:lang w:val="en-US" w:eastAsia="zh-CN" w:bidi="ar-SA"/>
        </w:rPr>
        <w:t>核心价值观主题教育形式，抓住建党节、建军节、国庆节以及国家公祭日等重要节点，依托红色革命遗址、爱国主义教育基地等，深化中国特色社会主义和中国梦宣传教育，强化社会主义核心价值观基层宣传。注重典型示范，深入实施时代新人培育工程，推出一批新时代</w:t>
      </w:r>
      <w:r>
        <w:rPr>
          <w:rFonts w:hint="eastAsia" w:ascii="仿宋_GB2312" w:hAnsi="仿宋_GB2312" w:eastAsia="仿宋_GB2312" w:cs="仿宋_GB2312"/>
          <w:sz w:val="32"/>
          <w:szCs w:val="32"/>
          <w:highlight w:val="none"/>
          <w:lang w:eastAsia="zh-CN"/>
        </w:rPr>
        <w:t>农民的先进模范人物</w:t>
      </w:r>
      <w:r>
        <w:rPr>
          <w:rFonts w:hint="eastAsia" w:ascii="仿宋_GB2312" w:hAnsi="仿宋_GB2312" w:eastAsia="仿宋_GB2312" w:cs="仿宋_GB2312"/>
          <w:sz w:val="32"/>
          <w:szCs w:val="32"/>
          <w:highlight w:val="none"/>
        </w:rPr>
        <w:t>。</w:t>
      </w:r>
    </w:p>
    <w:p>
      <w:pPr>
        <w:pStyle w:val="21"/>
        <w:tabs>
          <w:tab w:val="left" w:pos="1643"/>
        </w:tabs>
        <w:spacing w:after="0" w:afterLines="0" w:line="600" w:lineRule="exact"/>
        <w:ind w:firstLine="8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eastAsia="zh-CN"/>
        </w:rPr>
        <w:t>倡导传统美德和诚信道德规范。</w:t>
      </w:r>
      <w:r>
        <w:rPr>
          <w:rFonts w:hint="eastAsia" w:ascii="仿宋_GB2312" w:hAnsi="仿宋_GB2312" w:eastAsia="仿宋_GB2312" w:cs="仿宋_GB2312"/>
          <w:sz w:val="32"/>
          <w:szCs w:val="32"/>
          <w:highlight w:val="none"/>
          <w:lang w:eastAsia="zh-CN"/>
        </w:rPr>
        <w:t>全面推进社会公德、职业道德、家庭美德、个人品德建设，开展文明出行、文明旅游、文明交通、文明上网等时代新风行动，全面提升乡村群众思想道德素质。提倡艰苦奋斗、勤俭节约，开展以劳动创造幸福为主题的宣传教育。弘扬中华孝道，强化孝敬父母、尊敬长辈的社会风尚。推进诚信建设，强化农民的社会责任意识、规则意识、集体意识和主人翁意识。建立健全农村信用体系，完善守信激励和失信惩戒机制。</w:t>
      </w:r>
    </w:p>
    <w:p>
      <w:pPr>
        <w:pStyle w:val="21"/>
        <w:tabs>
          <w:tab w:val="left" w:pos="1643"/>
        </w:tabs>
        <w:spacing w:after="0" w:afterLines="0" w:line="600" w:lineRule="exact"/>
        <w:ind w:firstLine="8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eastAsia="zh-CN"/>
        </w:rPr>
        <w:t>巩固农村思想文化阵地。</w:t>
      </w:r>
      <w:r>
        <w:rPr>
          <w:rFonts w:hint="eastAsia" w:ascii="仿宋_GB2312" w:hAnsi="仿宋_GB2312" w:eastAsia="仿宋_GB2312" w:cs="仿宋_GB2312"/>
          <w:sz w:val="32"/>
          <w:szCs w:val="32"/>
          <w:highlight w:val="none"/>
          <w:lang w:eastAsia="zh-CN"/>
        </w:rPr>
        <w:t>推动基层党组织、基层单位、农村社区</w:t>
      </w:r>
      <w:r>
        <w:rPr>
          <w:rFonts w:hint="eastAsia" w:ascii="仿宋_GB2312" w:hAnsi="仿宋_GB2312" w:eastAsia="仿宋_GB2312" w:cs="仿宋_GB2312"/>
          <w:kern w:val="0"/>
          <w:sz w:val="32"/>
          <w:szCs w:val="22"/>
          <w:highlight w:val="none"/>
          <w:lang w:val="en-US" w:eastAsia="zh-CN" w:bidi="ar-SA"/>
        </w:rPr>
        <w:t>有针对性地加强农村群众性思想政治工作。加强对农村社会热点、难点问题的应对解读，合理引导社会预期。健全人文关怀和心理疏导机制，培育自尊自信、理性平和、积极向上的农村社会心态。深入开展“扫黄打非”进基层。重视发挥社区教育作用，做好家庭教育，传承良好家风家训。完善文化科技卫生“三下乡”长效机制。大力开展健康教育和健康科普工作，实施农民健康促进专项行动计划，</w:t>
      </w:r>
      <w:r>
        <w:rPr>
          <w:rFonts w:hint="eastAsia" w:ascii="仿宋_GB2312" w:hAnsi="仿宋_GB2312" w:eastAsia="仿宋_GB2312" w:cs="仿宋_GB2312"/>
          <w:sz w:val="32"/>
          <w:szCs w:val="32"/>
          <w:highlight w:val="none"/>
          <w:lang w:eastAsia="zh-CN"/>
        </w:rPr>
        <w:t>培育农民</w:t>
      </w:r>
      <w:r>
        <w:rPr>
          <w:rFonts w:hint="eastAsia" w:ascii="仿宋_GB2312" w:hAnsi="仿宋_GB2312" w:eastAsia="仿宋_GB2312" w:cs="仿宋_GB2312"/>
          <w:kern w:val="0"/>
          <w:sz w:val="32"/>
          <w:szCs w:val="22"/>
          <w:highlight w:val="none"/>
          <w:lang w:val="en-US" w:eastAsia="zh-CN" w:bidi="ar-SA"/>
        </w:rPr>
        <w:t>卫生文明生活方式。严格落实野生动物保护法，严厉打击非法捕猎、滥杀、加工、贩卖、食用野生动物及其制品等行为，倡导讲卫生、勤清洁、不吃野生动物</w:t>
      </w:r>
      <w:r>
        <w:rPr>
          <w:rFonts w:hint="eastAsia" w:ascii="仿宋_GB2312" w:hAnsi="仿宋_GB2312" w:eastAsia="仿宋_GB2312" w:cs="仿宋_GB2312"/>
          <w:sz w:val="32"/>
          <w:szCs w:val="32"/>
          <w:highlight w:val="none"/>
          <w:lang w:eastAsia="zh-CN"/>
        </w:rPr>
        <w:t>等文明生活习惯。</w:t>
      </w:r>
    </w:p>
    <w:p>
      <w:pPr>
        <w:pStyle w:val="21"/>
        <w:tabs>
          <w:tab w:val="left" w:pos="1643"/>
        </w:tabs>
        <w:spacing w:after="0" w:afterLines="0" w:line="600" w:lineRule="exact"/>
        <w:ind w:firstLine="8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eastAsia="zh-CN"/>
        </w:rPr>
        <w:t>深化农民精神文明创建活动。</w:t>
      </w:r>
      <w:r>
        <w:rPr>
          <w:rFonts w:hint="eastAsia" w:ascii="仿宋_GB2312" w:hAnsi="仿宋_GB2312" w:eastAsia="仿宋_GB2312" w:cs="仿宋_GB2312"/>
          <w:sz w:val="32"/>
          <w:szCs w:val="32"/>
          <w:highlight w:val="none"/>
          <w:lang w:eastAsia="zh-CN"/>
        </w:rPr>
        <w:t>按有关规定开展好媳妇、好儿女、好公婆等评选表彰活动，开展寻找最美乡村教师、医生、村官、人民调解员等活动。深入宣传道德模范、身边好人的典型事迹，建立健全先进模范发挥作用的长效机制。广泛开展星级文明户、文明家庭等群众性精神文明创建活动，不断提高文明村镇创建覆盖面。</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314" w:name="_Toc24228"/>
      <w:bookmarkStart w:id="1315" w:name="_Toc31861"/>
      <w:bookmarkStart w:id="1316" w:name="_Toc1913"/>
      <w:bookmarkStart w:id="1317" w:name="_Toc27664"/>
      <w:bookmarkStart w:id="1318" w:name="_Toc13186"/>
      <w:bookmarkStart w:id="1319" w:name="_Toc4884"/>
      <w:bookmarkStart w:id="1320" w:name="_Toc22061"/>
      <w:bookmarkStart w:id="1321" w:name="_Toc29611"/>
      <w:bookmarkStart w:id="1322" w:name="_Toc31613"/>
      <w:bookmarkStart w:id="1323" w:name="_Toc18144"/>
      <w:bookmarkStart w:id="1324" w:name="_Toc18926"/>
      <w:bookmarkStart w:id="1325" w:name="_Toc6678"/>
      <w:bookmarkStart w:id="1326" w:name="_Toc30872"/>
      <w:bookmarkStart w:id="1327" w:name="_Toc26670"/>
      <w:bookmarkStart w:id="1328" w:name="_Toc9352"/>
      <w:r>
        <w:rPr>
          <w:rFonts w:hint="eastAsia" w:ascii="黑体" w:hAnsi="黑体" w:eastAsia="黑体" w:cs="黑体"/>
          <w:b w:val="0"/>
          <w:bCs w:val="0"/>
          <w:highlight w:val="none"/>
        </w:rPr>
        <w:t>二、多形式开展群众性文化活动</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pPr>
        <w:pStyle w:val="21"/>
        <w:tabs>
          <w:tab w:val="left" w:pos="1606"/>
        </w:tabs>
        <w:spacing w:after="0" w:afterLines="0" w:line="600" w:lineRule="exact"/>
        <w:ind w:firstLine="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b/>
          <w:bCs/>
          <w:sz w:val="32"/>
          <w:szCs w:val="32"/>
          <w:highlight w:val="none"/>
        </w:rPr>
        <w:t>传承创新优秀传统文化</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sz w:val="32"/>
          <w:szCs w:val="32"/>
          <w:highlight w:val="none"/>
          <w:lang w:eastAsia="zh-CN"/>
        </w:rPr>
        <w:t>深入挖掘利用</w:t>
      </w:r>
      <w:r>
        <w:rPr>
          <w:rFonts w:hint="eastAsia" w:ascii="仿宋_GB2312" w:hAnsi="仿宋_GB2312" w:eastAsia="仿宋_GB2312" w:cs="仿宋_GB2312"/>
          <w:sz w:val="32"/>
          <w:szCs w:val="32"/>
          <w:highlight w:val="none"/>
        </w:rPr>
        <w:t>传统农耕文化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传承农耕文化中蕴含的优秀思想观念、人文精神、道德规范，弘扬勤劳勇敢、艰苦奋斗、勤俭节约、邻里相帮等文化传统。</w:t>
      </w:r>
      <w:r>
        <w:rPr>
          <w:rFonts w:hint="eastAsia" w:ascii="仿宋_GB2312" w:hAnsi="仿宋_GB2312" w:eastAsia="仿宋_GB2312" w:cs="仿宋_GB2312"/>
          <w:sz w:val="32"/>
          <w:szCs w:val="32"/>
          <w:highlight w:val="none"/>
          <w:lang w:val="zh-CN" w:eastAsia="zh-CN"/>
        </w:rPr>
        <w:t>倡</w:t>
      </w:r>
      <w:r>
        <w:rPr>
          <w:rFonts w:hint="eastAsia" w:ascii="仿宋_GB2312" w:hAnsi="仿宋_GB2312" w:eastAsia="仿宋_GB2312" w:cs="仿宋_GB2312"/>
          <w:sz w:val="32"/>
          <w:szCs w:val="32"/>
          <w:highlight w:val="none"/>
          <w:lang w:val="en-US" w:eastAsia="zh-CN"/>
        </w:rPr>
        <w:t>导绿色理念，传承发展好传统农业耕作</w:t>
      </w:r>
      <w:r>
        <w:rPr>
          <w:rFonts w:hint="eastAsia" w:ascii="仿宋_GB2312" w:hAnsi="仿宋_GB2312" w:eastAsia="仿宋_GB2312" w:cs="仿宋_GB2312"/>
          <w:sz w:val="32"/>
          <w:szCs w:val="32"/>
          <w:highlight w:val="none"/>
          <w:lang w:val="zh-CN" w:eastAsia="zh-CN"/>
        </w:rPr>
        <w:t>“土技</w:t>
      </w:r>
      <w:r>
        <w:rPr>
          <w:rFonts w:hint="eastAsia" w:ascii="仿宋_GB2312" w:hAnsi="仿宋_GB2312" w:eastAsia="仿宋_GB2312" w:cs="仿宋_GB2312"/>
          <w:sz w:val="32"/>
          <w:szCs w:val="32"/>
          <w:highlight w:val="none"/>
          <w:lang w:val="en-US" w:eastAsia="zh-CN"/>
        </w:rPr>
        <w:t>术”，回归传统农耕生活的</w:t>
      </w:r>
      <w:r>
        <w:rPr>
          <w:rFonts w:hint="eastAsia" w:ascii="仿宋_GB2312" w:hAnsi="仿宋_GB2312" w:eastAsia="仿宋_GB2312" w:cs="仿宋_GB2312"/>
          <w:sz w:val="32"/>
          <w:szCs w:val="32"/>
          <w:highlight w:val="none"/>
          <w:lang w:val="zh-CN" w:eastAsia="zh-CN"/>
        </w:rPr>
        <w:t>“绿色</w:t>
      </w:r>
      <w:r>
        <w:rPr>
          <w:rFonts w:hint="eastAsia" w:ascii="仿宋_GB2312" w:hAnsi="仿宋_GB2312" w:eastAsia="仿宋_GB2312" w:cs="仿宋_GB2312"/>
          <w:sz w:val="32"/>
          <w:szCs w:val="32"/>
          <w:highlight w:val="none"/>
          <w:lang w:val="en-US" w:eastAsia="zh-CN"/>
        </w:rPr>
        <w:t>文化”。推进乡村记忆工程，发掘保护好传统古村落、古民居、农业遗迹、灌溉工程遗产，保护好</w:t>
      </w:r>
      <w:r>
        <w:rPr>
          <w:rFonts w:hint="eastAsia" w:ascii="仿宋_GB2312" w:hAnsi="仿宋_GB2312" w:eastAsia="仿宋_GB2312" w:cs="仿宋_GB2312"/>
          <w:sz w:val="32"/>
          <w:szCs w:val="32"/>
          <w:highlight w:val="none"/>
          <w:lang w:val="zh-CN" w:eastAsia="zh-CN"/>
        </w:rPr>
        <w:t>“乡</w:t>
      </w:r>
      <w:r>
        <w:rPr>
          <w:rFonts w:hint="eastAsia" w:ascii="仿宋_GB2312" w:hAnsi="仿宋_GB2312" w:eastAsia="仿宋_GB2312" w:cs="仿宋_GB2312"/>
          <w:sz w:val="32"/>
          <w:szCs w:val="32"/>
          <w:highlight w:val="none"/>
          <w:lang w:val="en-US" w:eastAsia="zh-CN"/>
        </w:rPr>
        <w:t>村老宅院”，形成具有地域特色和情感记忆的家园文化。利用好传统节日和</w:t>
      </w:r>
      <w:r>
        <w:rPr>
          <w:rFonts w:hint="eastAsia" w:ascii="仿宋_GB2312" w:hAnsi="仿宋_GB2312" w:eastAsia="仿宋_GB2312" w:cs="仿宋_GB2312"/>
          <w:sz w:val="32"/>
          <w:szCs w:val="32"/>
          <w:highlight w:val="none"/>
          <w:lang w:val="zh-CN" w:eastAsia="zh-CN"/>
        </w:rPr>
        <w:t>“农</w:t>
      </w:r>
      <w:r>
        <w:rPr>
          <w:rFonts w:hint="eastAsia" w:ascii="仿宋_GB2312" w:hAnsi="仿宋_GB2312" w:eastAsia="仿宋_GB2312" w:cs="仿宋_GB2312"/>
          <w:sz w:val="32"/>
          <w:szCs w:val="32"/>
          <w:highlight w:val="none"/>
          <w:lang w:val="en-US" w:eastAsia="zh-CN"/>
        </w:rPr>
        <w:t>民丰收节”等特设节日，传承民间曲艺、乡村音乐等文化元素，繁荣乡村</w:t>
      </w:r>
      <w:r>
        <w:rPr>
          <w:rFonts w:hint="eastAsia" w:ascii="仿宋_GB2312" w:hAnsi="仿宋_GB2312" w:eastAsia="仿宋_GB2312" w:cs="仿宋_GB2312"/>
          <w:sz w:val="32"/>
          <w:szCs w:val="32"/>
          <w:highlight w:val="none"/>
          <w:lang w:val="zh-CN" w:eastAsia="zh-CN"/>
        </w:rPr>
        <w:t>“土</w:t>
      </w:r>
      <w:r>
        <w:rPr>
          <w:rFonts w:hint="eastAsia" w:ascii="仿宋_GB2312" w:hAnsi="仿宋_GB2312" w:eastAsia="仿宋_GB2312" w:cs="仿宋_GB2312"/>
          <w:sz w:val="32"/>
          <w:szCs w:val="32"/>
          <w:highlight w:val="none"/>
          <w:lang w:val="en-US" w:eastAsia="zh-CN"/>
        </w:rPr>
        <w:t>文化</w:t>
      </w:r>
      <w:r>
        <w:rPr>
          <w:rFonts w:hint="eastAsia" w:ascii="仿宋_GB2312" w:hAnsi="仿宋_GB2312" w:eastAsia="仿宋_GB2312" w:cs="仿宋_GB2312"/>
          <w:sz w:val="32"/>
          <w:szCs w:val="32"/>
          <w:highlight w:val="none"/>
          <w:lang w:val="zh-CN" w:eastAsia="zh-CN"/>
        </w:rPr>
        <w:t>”。</w:t>
      </w:r>
      <w:r>
        <w:rPr>
          <w:rFonts w:hint="eastAsia" w:ascii="仿宋_GB2312" w:hAnsi="仿宋_GB2312" w:eastAsia="仿宋_GB2312" w:cs="仿宋_GB2312"/>
          <w:sz w:val="32"/>
          <w:szCs w:val="32"/>
          <w:highlight w:val="none"/>
          <w:lang w:val="en-US" w:eastAsia="zh-CN"/>
        </w:rPr>
        <w:t>传承发展好冼夫人文化、高凉古城文化、镇隆书院文化、信宜慈孝文化等地区特色历史文化，大力弘扬由本地历史文化积淀形成的“好心文化”，以及老一辈油城建设者们自力更生、奋发图强、艰苦奋斗的“油城</w:t>
      </w:r>
      <w:bookmarkStart w:id="1329" w:name="bookmark96"/>
      <w:bookmarkEnd w:id="1329"/>
      <w:r>
        <w:rPr>
          <w:rFonts w:hint="eastAsia" w:ascii="仿宋_GB2312" w:hAnsi="仿宋_GB2312" w:eastAsia="仿宋_GB2312" w:cs="仿宋_GB2312"/>
          <w:sz w:val="32"/>
          <w:szCs w:val="32"/>
          <w:highlight w:val="none"/>
          <w:lang w:val="en-US" w:eastAsia="zh-CN"/>
        </w:rPr>
        <w:t>文化”。充分挖掘、整理、利用好茂名市丰富的革命历史和红色文化资源，加强革命历史文化教育基地建设，打造一批红色文化传承教育基地和示范区。</w:t>
      </w:r>
    </w:p>
    <w:p>
      <w:pPr>
        <w:pStyle w:val="21"/>
        <w:tabs>
          <w:tab w:val="left" w:pos="1606"/>
        </w:tabs>
        <w:spacing w:after="0" w:afterLines="0" w:line="600" w:lineRule="exact"/>
        <w:ind w:firstLine="78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增加公共文化产品和服务供给。</w:t>
      </w:r>
      <w:r>
        <w:rPr>
          <w:rFonts w:hint="eastAsia" w:ascii="仿宋_GB2312" w:hAnsi="仿宋_GB2312" w:eastAsia="仿宋_GB2312" w:cs="仿宋_GB2312"/>
          <w:sz w:val="32"/>
          <w:szCs w:val="32"/>
          <w:highlight w:val="none"/>
          <w:lang w:val="en-US" w:eastAsia="zh-CN"/>
        </w:rPr>
        <w:t>统筹城乡文化设施建设布局，均衡配置公共文化资源。推动县域副中心公共文化设施高标准建设，实现以点带面。全面推进乡镇（街道）文化设施提档升级，推进行政村（社区）综合性文化服务中心的效能提升。“茂名公共文化服务云平台”“茂名市公共服务联盟”等工程基本全面建成。实施文化惠民工程，积极推进“数字农家书屋工程”“农村数字电影放映工程”、市民艺术节、传统文化传承系列活动、外来务工人员文化融合系列活动等公共文化服务供给。发展壮大民间文艺社团和业余文化队伍，培育挖掘乡土文化人才，增强乡村文化自我发展能力。激发乡村文化创新创造活力，加大“三农”题材文艺创作支持力度。鼓励各类文化企业、文艺团体深入乡村，创作出更多既接地气又反映时代风貌的优秀文艺作品。</w:t>
      </w:r>
    </w:p>
    <w:p>
      <w:pPr>
        <w:pStyle w:val="21"/>
        <w:tabs>
          <w:tab w:val="left" w:pos="1628"/>
        </w:tabs>
        <w:spacing w:after="0" w:afterLines="0" w:line="600" w:lineRule="exact"/>
        <w:ind w:firstLine="643" w:firstLineChars="200"/>
        <w:rPr>
          <w:rFonts w:ascii="Times New Roman" w:hAnsi="Times New Roman" w:eastAsia="仿宋" w:cs="Times New Roman"/>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丰富乡村文化生活。</w:t>
      </w:r>
      <w:r>
        <w:rPr>
          <w:rFonts w:hint="eastAsia" w:ascii="仿宋_GB2312" w:hAnsi="仿宋_GB2312" w:eastAsia="仿宋_GB2312" w:cs="仿宋_GB2312"/>
          <w:sz w:val="32"/>
          <w:szCs w:val="32"/>
          <w:highlight w:val="none"/>
          <w:lang w:val="en-US" w:eastAsia="zh-CN"/>
        </w:rPr>
        <w:t>采取文化、科技、卫生“三下乡”、高雅艺术进乡村等多种形式，把更多优秀文化作品、科普知识、文艺演出送到乡村群众中间。支持开展丰富多彩的群众性文化活动，利用农闲和各类节日，组织开展文艺汇演、庆丰收赛歌会、劳动技能比赛、民间绝活展演等文化活动，传承发展赛龙舟、舞龙舞狮等民间传统文体项目和赛事。鼓励行政村开展“开村会办村晚”活动，举办别开生面的村民春节联欢晚会，传播健康文明的先进文化。鼓励开展粤剧嘉年华、运动会、科技竞赛等群众性文体科教交流活动，支持文旅志愿者深入农村开展丰富多彩的文化、旅游、体育志愿服务活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8847" w:type="dxa"/>
            <w:noWrap w:val="0"/>
            <w:vAlign w:val="center"/>
          </w:tcPr>
          <w:p>
            <w:pPr>
              <w:autoSpaceDE w:val="0"/>
              <w:autoSpaceDN w:val="0"/>
              <w:adjustRightInd w:val="0"/>
              <w:jc w:val="center"/>
              <w:rPr>
                <w:rFonts w:ascii="Times New Roman" w:hAnsi="Times New Roman" w:eastAsia="楷体"/>
                <w:b/>
                <w:bCs/>
                <w:kern w:val="0"/>
                <w:sz w:val="24"/>
                <w:szCs w:val="20"/>
                <w:highlight w:val="none"/>
              </w:rPr>
            </w:pPr>
            <w:r>
              <w:rPr>
                <w:rFonts w:hint="eastAsia" w:ascii="黑体" w:hAnsi="黑体" w:eastAsia="黑体" w:cs="黑体"/>
                <w:b w:val="0"/>
                <w:bCs w:val="0"/>
                <w:kern w:val="0"/>
                <w:sz w:val="24"/>
                <w:szCs w:val="20"/>
                <w:highlight w:val="none"/>
              </w:rPr>
              <w:t>专栏八  发展活跃乡村文化工程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7" w:type="dxa"/>
            <w:noWrap w:val="0"/>
            <w:vAlign w:val="top"/>
          </w:tcPr>
          <w:p>
            <w:pPr>
              <w:autoSpaceDE w:val="0"/>
              <w:autoSpaceDN w:val="0"/>
              <w:adjustRightInd w:val="0"/>
              <w:spacing w:line="360" w:lineRule="auto"/>
              <w:ind w:firstLine="472" w:firstLineChars="196"/>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（一）“美丽文明镇村”和“星级文明户”创建工程</w:t>
            </w:r>
          </w:p>
          <w:p>
            <w:pPr>
              <w:autoSpaceDE w:val="0"/>
              <w:autoSpaceDN w:val="0"/>
              <w:adjustRightInd w:val="0"/>
              <w:spacing w:line="360" w:lineRule="auto"/>
              <w:ind w:firstLine="470" w:firstLineChars="196"/>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sz w:val="24"/>
                <w:highlight w:val="none"/>
                <w:lang w:bidi="zh-TW"/>
              </w:rPr>
              <w:t>深化文明村镇创建，将乡风文明建设内涵纳入文明村镇创建中。到2025年，县级以上文明村建成率达到100%，培育一批全国、省级文明村镇。</w:t>
            </w:r>
          </w:p>
          <w:p>
            <w:pPr>
              <w:autoSpaceDE w:val="0"/>
              <w:autoSpaceDN w:val="0"/>
              <w:adjustRightInd w:val="0"/>
              <w:spacing w:line="360" w:lineRule="auto"/>
              <w:ind w:firstLine="472" w:firstLineChars="196"/>
              <w:jc w:val="left"/>
              <w:rPr>
                <w:rFonts w:hint="eastAsia" w:ascii="仿宋_GB2312" w:hAnsi="仿宋_GB2312" w:eastAsia="仿宋_GB2312" w:cs="仿宋_GB2312"/>
                <w:b/>
                <w:kern w:val="0"/>
                <w:sz w:val="24"/>
                <w:szCs w:val="20"/>
                <w:highlight w:val="none"/>
              </w:rPr>
            </w:pPr>
            <w:r>
              <w:rPr>
                <w:rFonts w:hint="eastAsia" w:ascii="仿宋_GB2312" w:hAnsi="仿宋_GB2312" w:eastAsia="仿宋_GB2312" w:cs="仿宋_GB2312"/>
                <w:b/>
                <w:kern w:val="0"/>
                <w:sz w:val="24"/>
                <w:szCs w:val="20"/>
                <w:highlight w:val="none"/>
              </w:rPr>
              <w:t>（二）特色文化产业扶持工程</w:t>
            </w:r>
          </w:p>
          <w:p>
            <w:pPr>
              <w:autoSpaceDE w:val="0"/>
              <w:autoSpaceDN w:val="0"/>
              <w:adjustRightInd w:val="0"/>
              <w:spacing w:line="360" w:lineRule="auto"/>
              <w:ind w:firstLine="470" w:firstLineChars="196"/>
              <w:jc w:val="left"/>
              <w:rPr>
                <w:rFonts w:hint="eastAsia" w:ascii="仿宋_GB2312" w:hAnsi="仿宋_GB2312" w:eastAsia="仿宋_GB2312" w:cs="仿宋_GB2312"/>
                <w:sz w:val="24"/>
                <w:highlight w:val="none"/>
                <w:lang w:bidi="zh-TW"/>
              </w:rPr>
            </w:pPr>
            <w:r>
              <w:rPr>
                <w:rFonts w:hint="eastAsia" w:ascii="仿宋_GB2312" w:hAnsi="仿宋_GB2312" w:eastAsia="仿宋_GB2312" w:cs="仿宋_GB2312"/>
                <w:sz w:val="24"/>
                <w:highlight w:val="none"/>
                <w:lang w:bidi="zh-TW"/>
              </w:rPr>
              <w:t>扶持发展民间工艺和文化产品，挖掘培养乡村文化本土人才，建设特色文化产业乡镇、文化产业特色村，发展特色文化产业群。推动农村地区实施传统工艺振兴计划，培育形成具有地域特色的传统工艺产品。开发传统节日文化用品和武术、戏曲、舞龙、舞狮、锣鼓等民间艺术、民俗表演项目。挖掘乡村文化资源的多元价值，推动文化、旅游及与其他产业深度融合、创新发展。</w:t>
            </w:r>
          </w:p>
          <w:p>
            <w:pPr>
              <w:autoSpaceDE w:val="0"/>
              <w:autoSpaceDN w:val="0"/>
              <w:adjustRightInd w:val="0"/>
              <w:spacing w:line="360" w:lineRule="auto"/>
              <w:ind w:firstLine="472" w:firstLineChars="196"/>
              <w:jc w:val="left"/>
              <w:rPr>
                <w:rFonts w:hint="eastAsia" w:ascii="仿宋_GB2312" w:hAnsi="仿宋_GB2312" w:eastAsia="仿宋_GB2312" w:cs="仿宋_GB2312"/>
                <w:b/>
                <w:kern w:val="0"/>
                <w:sz w:val="24"/>
                <w:szCs w:val="20"/>
                <w:highlight w:val="none"/>
              </w:rPr>
            </w:pPr>
            <w:r>
              <w:rPr>
                <w:rFonts w:hint="eastAsia" w:ascii="仿宋_GB2312" w:hAnsi="仿宋_GB2312" w:eastAsia="仿宋_GB2312" w:cs="仿宋_GB2312"/>
                <w:b/>
                <w:kern w:val="0"/>
                <w:sz w:val="24"/>
                <w:szCs w:val="20"/>
                <w:highlight w:val="none"/>
              </w:rPr>
              <w:t>（三）乡村公共文化设施服务提升</w:t>
            </w:r>
          </w:p>
          <w:p>
            <w:pPr>
              <w:autoSpaceDE w:val="0"/>
              <w:autoSpaceDN w:val="0"/>
              <w:adjustRightInd w:val="0"/>
              <w:spacing w:line="360" w:lineRule="auto"/>
              <w:ind w:firstLine="470" w:firstLineChars="196"/>
              <w:jc w:val="left"/>
              <w:rPr>
                <w:rFonts w:ascii="Times New Roman" w:hAnsi="Times New Roman" w:eastAsia="仿宋"/>
                <w:kern w:val="0"/>
                <w:sz w:val="24"/>
                <w:szCs w:val="20"/>
                <w:highlight w:val="none"/>
              </w:rPr>
            </w:pPr>
            <w:r>
              <w:rPr>
                <w:rFonts w:hint="eastAsia" w:ascii="仿宋_GB2312" w:hAnsi="仿宋_GB2312" w:eastAsia="仿宋_GB2312" w:cs="仿宋_GB2312"/>
                <w:color w:val="auto"/>
                <w:sz w:val="24"/>
                <w:highlight w:val="none"/>
                <w:lang w:bidi="zh-TW"/>
              </w:rPr>
              <w:t>全面推进乡镇（街道）文化设施提档升级，推进行政村（社区）综合性文化服务中心的效能提升。实施文化惠民工程，积极推进“数字农家书屋工程”“农村数字电影放映工程”、市民艺术节、传统文化传承系列活动、外来务工人员文化融合系列活动等公共文化服务供给。激发乡村文化创新创造活力，加大“三农”题材文艺创作支持力度。鼓励各类文化企业、文艺团体深入乡村，创作出更多既接地气又反映时代风貌的优秀文艺作品。</w:t>
            </w:r>
          </w:p>
        </w:tc>
      </w:tr>
    </w:tbl>
    <w:p>
      <w:pPr>
        <w:pStyle w:val="5"/>
        <w:spacing w:before="0" w:beforeLines="0" w:after="0" w:afterLines="0" w:line="600" w:lineRule="exact"/>
        <w:jc w:val="center"/>
        <w:rPr>
          <w:rFonts w:ascii="Times New Roman" w:hAnsi="Times New Roman" w:eastAsia="黑体"/>
          <w:b w:val="0"/>
          <w:bCs w:val="0"/>
          <w:sz w:val="32"/>
          <w:highlight w:val="none"/>
        </w:rPr>
      </w:pPr>
      <w:bookmarkStart w:id="1330" w:name="_Toc5467"/>
      <w:bookmarkStart w:id="1331" w:name="_Toc8766"/>
      <w:bookmarkStart w:id="1332" w:name="_Toc9604"/>
      <w:bookmarkStart w:id="1333" w:name="_Toc8470"/>
      <w:bookmarkStart w:id="1334" w:name="_Toc13038"/>
      <w:bookmarkStart w:id="1335" w:name="_Toc13016"/>
      <w:bookmarkStart w:id="1336" w:name="_Toc12476"/>
      <w:bookmarkStart w:id="1337" w:name="_Toc16146"/>
      <w:bookmarkStart w:id="1338" w:name="_Toc4635"/>
      <w:bookmarkStart w:id="1339" w:name="_Toc28491"/>
      <w:bookmarkStart w:id="1340" w:name="_Toc16479"/>
      <w:bookmarkStart w:id="1341" w:name="_Toc6699"/>
      <w:bookmarkStart w:id="1342" w:name="_Toc27614"/>
      <w:bookmarkStart w:id="1343" w:name="_Toc23300"/>
      <w:bookmarkStart w:id="1344" w:name="_Toc8659"/>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第三节  全面提升农民收入水平</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345" w:name="_Toc24256"/>
      <w:bookmarkStart w:id="1346" w:name="_Toc29433"/>
      <w:bookmarkStart w:id="1347" w:name="_Toc5996"/>
      <w:bookmarkStart w:id="1348" w:name="_Toc31724"/>
      <w:bookmarkStart w:id="1349" w:name="_Toc5568"/>
      <w:bookmarkStart w:id="1350" w:name="_Toc13754"/>
      <w:bookmarkStart w:id="1351" w:name="_Toc15352"/>
      <w:bookmarkStart w:id="1352" w:name="_Toc29464"/>
      <w:bookmarkStart w:id="1353" w:name="_Toc28299"/>
      <w:bookmarkStart w:id="1354" w:name="_Toc29339"/>
      <w:bookmarkStart w:id="1355" w:name="_Toc25919"/>
      <w:bookmarkStart w:id="1356" w:name="_Toc28302"/>
      <w:bookmarkStart w:id="1357" w:name="_Toc17879"/>
      <w:bookmarkStart w:id="1358" w:name="_Toc23427"/>
      <w:bookmarkStart w:id="1359" w:name="_Toc2893"/>
      <w:r>
        <w:rPr>
          <w:rFonts w:hint="eastAsia" w:ascii="黑体" w:hAnsi="黑体" w:eastAsia="黑体" w:cs="黑体"/>
          <w:b w:val="0"/>
          <w:bCs w:val="0"/>
          <w:highlight w:val="none"/>
        </w:rPr>
        <w:t>一、拓宽农民就业渠道</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pPr>
        <w:spacing w:line="600" w:lineRule="exact"/>
        <w:ind w:firstLine="600"/>
        <w:rPr>
          <w:rFonts w:hint="eastAsia" w:hAnsi="仿宋_GB2312" w:eastAsia="仿宋_GB2312" w:cs="仿宋_GB2312"/>
          <w:color w:val="auto"/>
          <w:kern w:val="0"/>
          <w:sz w:val="32"/>
          <w:szCs w:val="22"/>
          <w:highlight w:val="none"/>
        </w:rPr>
      </w:pPr>
      <w:r>
        <w:rPr>
          <w:rFonts w:hint="eastAsia" w:hAnsi="仿宋_GB2312" w:eastAsia="仿宋_GB2312" w:cs="仿宋_GB2312"/>
          <w:kern w:val="0"/>
          <w:sz w:val="32"/>
          <w:szCs w:val="22"/>
          <w:highlight w:val="none"/>
        </w:rPr>
        <w:t>积极拓宽农民就业渠道，</w:t>
      </w:r>
      <w:r>
        <w:rPr>
          <w:rFonts w:hint="eastAsia" w:hAnsi="仿宋_GB2312" w:eastAsia="仿宋_GB2312" w:cs="仿宋_GB2312"/>
          <w:color w:val="auto"/>
          <w:kern w:val="0"/>
          <w:sz w:val="32"/>
          <w:szCs w:val="22"/>
          <w:highlight w:val="none"/>
        </w:rPr>
        <w:t>建立农村人力资源供需数据库，</w:t>
      </w:r>
      <w:r>
        <w:rPr>
          <w:rFonts w:hint="eastAsia" w:hAnsi="仿宋_GB2312" w:eastAsia="仿宋_GB2312" w:cs="仿宋_GB2312"/>
          <w:kern w:val="0"/>
          <w:sz w:val="32"/>
          <w:szCs w:val="22"/>
          <w:highlight w:val="none"/>
        </w:rPr>
        <w:t>推进就业信息网络覆盖全部行政村。定期组织农村劳动力供需见面会、专场招聘会。完善覆盖城乡、区域均衡、全民共享的公共就业创业服务体系，实现服务网点行政村全覆盖。加强公共就业创业服务标准化、规范化、信息化建设，</w:t>
      </w:r>
      <w:r>
        <w:rPr>
          <w:rFonts w:hint="eastAsia" w:hAnsi="仿宋_GB2312" w:eastAsia="仿宋_GB2312" w:cs="仿宋_GB2312"/>
          <w:color w:val="auto"/>
          <w:kern w:val="0"/>
          <w:sz w:val="32"/>
          <w:szCs w:val="22"/>
          <w:highlight w:val="none"/>
        </w:rPr>
        <w:t>促进农民就地就近就业。</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360" w:name="_Toc19862"/>
      <w:bookmarkStart w:id="1361" w:name="_Toc9510"/>
      <w:bookmarkStart w:id="1362" w:name="_Toc17425"/>
      <w:bookmarkStart w:id="1363" w:name="_Toc19256"/>
      <w:bookmarkStart w:id="1364" w:name="_Toc942"/>
      <w:bookmarkStart w:id="1365" w:name="_Toc3950"/>
      <w:bookmarkStart w:id="1366" w:name="_Toc19405"/>
      <w:bookmarkStart w:id="1367" w:name="_Toc15462"/>
      <w:bookmarkStart w:id="1368" w:name="_Toc8598"/>
      <w:bookmarkStart w:id="1369" w:name="_Toc23665"/>
      <w:bookmarkStart w:id="1370" w:name="_Toc13351"/>
      <w:bookmarkStart w:id="1371" w:name="_Toc20361"/>
      <w:bookmarkStart w:id="1372" w:name="_Toc4408"/>
      <w:bookmarkStart w:id="1373" w:name="_Toc12304"/>
      <w:bookmarkStart w:id="1374" w:name="_Toc31464"/>
      <w:r>
        <w:rPr>
          <w:rFonts w:hint="eastAsia" w:ascii="黑体" w:hAnsi="黑体" w:eastAsia="黑体" w:cs="黑体"/>
          <w:b w:val="0"/>
          <w:bCs w:val="0"/>
          <w:highlight w:val="none"/>
        </w:rPr>
        <w:t>二、有效提升农民经营性收入</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spacing w:line="600" w:lineRule="exact"/>
        <w:ind w:firstLine="6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进一步优化农村产业结构，加快推进农村一二三产业融合发展，扶持和培育一批吸纳就业能力强的产业和企业。深入实施农村新型社区、产业园区、乡村产业建设，强化特色产业就业支撑。鼓励返乡人员整合优势资源，引导培育新型农业经营主体，发展乡村特色产业，振兴传统工艺，培育一批家庭工场、手工作坊、乡村车间。</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375" w:name="_Toc21983"/>
      <w:bookmarkStart w:id="1376" w:name="_Toc12773"/>
      <w:bookmarkStart w:id="1377" w:name="_Toc24840"/>
      <w:bookmarkStart w:id="1378" w:name="_Toc30612"/>
      <w:bookmarkStart w:id="1379" w:name="_Toc29525"/>
      <w:bookmarkStart w:id="1380" w:name="_Toc28490"/>
      <w:bookmarkStart w:id="1381" w:name="_Toc13120"/>
      <w:bookmarkStart w:id="1382" w:name="_Toc1639"/>
      <w:bookmarkStart w:id="1383" w:name="_Toc19354"/>
      <w:bookmarkStart w:id="1384" w:name="_Toc25418"/>
      <w:bookmarkStart w:id="1385" w:name="_Toc22142"/>
      <w:bookmarkStart w:id="1386" w:name="_Toc31256"/>
      <w:bookmarkStart w:id="1387" w:name="_Toc4938"/>
      <w:bookmarkStart w:id="1388" w:name="_Toc21986"/>
      <w:bookmarkStart w:id="1389" w:name="_Toc28685"/>
      <w:r>
        <w:rPr>
          <w:rFonts w:hint="eastAsia" w:ascii="黑体" w:hAnsi="黑体" w:eastAsia="黑体" w:cs="黑体"/>
          <w:b w:val="0"/>
          <w:bCs w:val="0"/>
          <w:highlight w:val="none"/>
        </w:rPr>
        <w:t>三、完善制度保障体系</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pPr>
        <w:spacing w:line="600" w:lineRule="exact"/>
        <w:ind w:firstLine="6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推动建立产业布局和重点项目带动就业的机制，完善就业创业专项资金管理办法。完善社会公平保障体系，创造平等竞争就业环境，治理就业的隐形门槛。加强农民从业职业培训，落实就业服务、人才激励、教育培训、资金奖补、金融支持、社会保险等就业扶持相关政策，加强就业援助。探索开展农村承包土地经营权和农民住房财产权抵押贷款试点，允许农民以转包、出租、互换、转让、股份合作等形式流转土地承包经营权。发展农村普惠金融。探索将财政资金投入农业农村形成的经营性资产，通过股权量化到户。</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390" w:name="_Toc28759"/>
      <w:bookmarkStart w:id="1391" w:name="_Toc1261"/>
      <w:bookmarkStart w:id="1392" w:name="_Toc1452"/>
      <w:bookmarkStart w:id="1393" w:name="_Toc1301"/>
      <w:bookmarkStart w:id="1394" w:name="_Toc1389"/>
      <w:bookmarkStart w:id="1395" w:name="_Toc19424"/>
      <w:bookmarkStart w:id="1396" w:name="_Toc19454"/>
      <w:bookmarkStart w:id="1397" w:name="_Toc11142"/>
      <w:bookmarkStart w:id="1398" w:name="_Toc8253"/>
      <w:bookmarkStart w:id="1399" w:name="_Toc8258"/>
      <w:bookmarkStart w:id="1400" w:name="_Toc724"/>
      <w:bookmarkStart w:id="1401" w:name="_Toc31596"/>
      <w:bookmarkStart w:id="1402" w:name="_Toc26008"/>
      <w:bookmarkStart w:id="1403" w:name="_Toc22614"/>
      <w:bookmarkStart w:id="1404" w:name="_Toc51255578"/>
      <w:bookmarkStart w:id="1405" w:name="_Toc30982"/>
      <w:r>
        <w:rPr>
          <w:rFonts w:hint="eastAsia" w:ascii="黑体" w:hAnsi="黑体" w:eastAsia="黑体" w:cs="黑体"/>
          <w:b w:val="0"/>
          <w:bCs w:val="0"/>
          <w:highlight w:val="none"/>
        </w:rPr>
        <w:t>四、激发农村创新创业活力</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pPr>
        <w:spacing w:line="600" w:lineRule="exact"/>
        <w:ind w:firstLine="6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进一步优化农村创新创业环境，强化政策供给，完善服务体系，破解瓶颈制</w:t>
      </w:r>
      <w:r>
        <w:rPr>
          <w:rFonts w:hint="eastAsia" w:ascii="Times New Roman" w:hAnsi="仿宋_GB2312" w:eastAsia="仿宋_GB2312" w:cs="仿宋_GB2312"/>
          <w:kern w:val="0"/>
          <w:sz w:val="32"/>
          <w:szCs w:val="22"/>
          <w:highlight w:val="none"/>
          <w:lang w:bidi="zh-TW"/>
        </w:rPr>
        <w:t>约。对村庄整治、宅基地整理等节约的建设用地，以入股、联营等方式用于支持新产业、新业态发展。实施农村创新创业带头人培育行动，搭建要素聚乡、产业下乡、人才返乡和能人留乡平台，支持本地农民兴业创业，引导农民工在青壮年时返乡创业，将返乡创业农民工纳入一次性创业补贴范围，制定促进社会资本投入农业农村指引目录。吸引一批农民工、大学生和退役军人返乡创业，引进一批科技人员和社会资本入乡创业。依托基层就业和社会保障服务平台，做好返乡人员创业服务、社保关系转移接续等工作。引导有条件的产业园区、龙头企业、服务机构和科研单位发展众创、众筹、众包、众扶模式，建设一批功能完</w:t>
      </w:r>
      <w:r>
        <w:rPr>
          <w:rFonts w:hint="eastAsia" w:hAnsi="仿宋_GB2312" w:eastAsia="仿宋_GB2312" w:cs="仿宋_GB2312"/>
          <w:kern w:val="0"/>
          <w:sz w:val="32"/>
          <w:szCs w:val="22"/>
          <w:highlight w:val="none"/>
        </w:rPr>
        <w:t>善、环境良好的农村创新创业园区和省、市级示范性创业孵化基地，促进广东粤西创业创新孵化基地、茂名市高级技工学校</w:t>
      </w:r>
      <w:r>
        <w:rPr>
          <w:rFonts w:hint="eastAsia" w:ascii="Times New Roman" w:hAnsi="仿宋_GB2312" w:eastAsia="仿宋_GB2312" w:cs="仿宋_GB2312"/>
          <w:kern w:val="0"/>
          <w:sz w:val="32"/>
          <w:szCs w:val="22"/>
          <w:highlight w:val="none"/>
          <w:lang w:bidi="zh-TW"/>
        </w:rPr>
        <w:t>“互联网+”技能创业创新孵化基地等区域性（特色性）创业孵化基地提质扩容。鼓励引导各地完善创业孵化服务体系，撬动社会资源投入创业孵化基地建设及运</w:t>
      </w:r>
      <w:r>
        <w:rPr>
          <w:rFonts w:hint="eastAsia" w:hAnsi="仿宋_GB2312" w:eastAsia="仿宋_GB2312" w:cs="仿宋_GB2312"/>
          <w:kern w:val="0"/>
          <w:sz w:val="32"/>
          <w:szCs w:val="22"/>
          <w:highlight w:val="none"/>
        </w:rPr>
        <w:t>营，提升孵化基地运作水平，切实提升创业孵化服务能力。</w:t>
      </w:r>
    </w:p>
    <w:p>
      <w:pPr>
        <w:pStyle w:val="5"/>
        <w:spacing w:before="0" w:beforeLines="0" w:after="0" w:afterLines="0" w:line="600" w:lineRule="exact"/>
        <w:jc w:val="center"/>
        <w:rPr>
          <w:rFonts w:ascii="Times New Roman" w:hAnsi="Times New Roman" w:eastAsia="黑体"/>
          <w:b w:val="0"/>
          <w:bCs w:val="0"/>
          <w:sz w:val="32"/>
          <w:highlight w:val="none"/>
        </w:rPr>
      </w:pPr>
      <w:bookmarkStart w:id="1406" w:name="_Toc27924"/>
      <w:bookmarkStart w:id="1407" w:name="_Toc13965"/>
      <w:bookmarkStart w:id="1408" w:name="_Toc9157"/>
      <w:bookmarkStart w:id="1409" w:name="_Toc10688"/>
      <w:bookmarkStart w:id="1410" w:name="_Toc9539"/>
      <w:bookmarkStart w:id="1411" w:name="_Toc11954"/>
      <w:bookmarkStart w:id="1412" w:name="_Toc11771"/>
      <w:bookmarkStart w:id="1413" w:name="_Toc8233"/>
      <w:bookmarkStart w:id="1414" w:name="_Toc29161"/>
      <w:bookmarkStart w:id="1415" w:name="_Toc4587"/>
      <w:bookmarkStart w:id="1416" w:name="_Toc9045"/>
      <w:bookmarkStart w:id="1417" w:name="_Toc10350"/>
      <w:bookmarkStart w:id="1418" w:name="_Toc4236"/>
      <w:bookmarkStart w:id="1419" w:name="_Toc14451"/>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第四节  促进农村消费升级</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420" w:name="_Toc15109"/>
      <w:bookmarkStart w:id="1421" w:name="_Toc11009"/>
      <w:bookmarkStart w:id="1422" w:name="_Toc25297"/>
      <w:bookmarkStart w:id="1423" w:name="_Toc1638"/>
      <w:bookmarkStart w:id="1424" w:name="_Toc18606"/>
      <w:bookmarkStart w:id="1425" w:name="_Toc907"/>
      <w:bookmarkStart w:id="1426" w:name="_Toc8580"/>
      <w:bookmarkStart w:id="1427" w:name="_Toc1404"/>
      <w:bookmarkStart w:id="1428" w:name="_Toc17817"/>
      <w:bookmarkStart w:id="1429" w:name="_Toc8933"/>
      <w:bookmarkStart w:id="1430" w:name="_Toc10922"/>
      <w:bookmarkStart w:id="1431" w:name="_Toc20241"/>
      <w:bookmarkStart w:id="1432" w:name="_Toc20434"/>
      <w:bookmarkStart w:id="1433" w:name="_Toc13952"/>
      <w:r>
        <w:rPr>
          <w:rFonts w:hint="eastAsia" w:ascii="黑体" w:hAnsi="黑体" w:eastAsia="黑体" w:cs="黑体"/>
          <w:b w:val="0"/>
          <w:bCs w:val="0"/>
          <w:highlight w:val="none"/>
        </w:rPr>
        <w:t>一、实施农村居民消费促进行动</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17"/>
        <w:ind w:firstLine="640"/>
        <w:rPr>
          <w:rFonts w:hint="eastAsia" w:ascii="仿宋_GB2312" w:hAnsi="仿宋_GB2312" w:eastAsia="仿宋_GB2312" w:cs="仿宋_GB2312"/>
          <w:szCs w:val="32"/>
          <w:highlight w:val="none"/>
          <w:lang w:bidi="zh-TW"/>
        </w:rPr>
      </w:pPr>
      <w:r>
        <w:rPr>
          <w:rFonts w:hint="eastAsia" w:ascii="仿宋_GB2312" w:hAnsi="仿宋_GB2312" w:eastAsia="仿宋_GB2312" w:cs="仿宋_GB2312"/>
          <w:kern w:val="0"/>
          <w:szCs w:val="22"/>
          <w:highlight w:val="none"/>
        </w:rPr>
        <w:t>加快完善县镇村三级农村物流体系，改造提升农村物流基础设施，深入推进电子商务进农村和农产品出村进城，推动城乡生产与消费有效对接。推动农村吃穿用住行等消费提质扩容，组织开展消费节、商品下乡，</w:t>
      </w:r>
      <w:r>
        <w:rPr>
          <w:rFonts w:hint="eastAsia" w:ascii="仿宋_GB2312" w:hAnsi="仿宋_GB2312" w:eastAsia="仿宋_GB2312" w:cs="仿宋_GB2312"/>
          <w:szCs w:val="32"/>
          <w:highlight w:val="none"/>
          <w:lang w:bidi="zh-TW"/>
        </w:rPr>
        <w:t>引导汽车、家电企业下沉县域市场，</w:t>
      </w:r>
      <w:r>
        <w:rPr>
          <w:rFonts w:hint="eastAsia" w:ascii="仿宋_GB2312" w:hAnsi="仿宋_GB2312" w:eastAsia="仿宋_GB2312" w:cs="仿宋_GB2312"/>
          <w:kern w:val="0"/>
          <w:szCs w:val="22"/>
          <w:highlight w:val="none"/>
        </w:rPr>
        <w:t>引导农村居民增加通信、文化娱乐、家电、汽车等消费，扩大乡村优质商品和服务供给</w:t>
      </w:r>
      <w:r>
        <w:rPr>
          <w:rFonts w:hint="eastAsia" w:ascii="仿宋_GB2312" w:hAnsi="仿宋_GB2312" w:eastAsia="仿宋_GB2312" w:cs="仿宋_GB2312"/>
          <w:szCs w:val="32"/>
          <w:highlight w:val="none"/>
          <w:lang w:bidi="zh-TW"/>
        </w:rPr>
        <w:t>，</w:t>
      </w:r>
      <w:r>
        <w:rPr>
          <w:rFonts w:hint="eastAsia" w:ascii="仿宋_GB2312" w:hAnsi="仿宋_GB2312" w:eastAsia="仿宋_GB2312" w:cs="仿宋_GB2312"/>
          <w:kern w:val="0"/>
          <w:szCs w:val="22"/>
          <w:highlight w:val="none"/>
        </w:rPr>
        <w:t>满足农民高品质消费需求。着力挖掘农村网购消费潜力，统筹实施城乡高效配送专项行动，持续畅通城乡双向联动销售渠</w:t>
      </w:r>
      <w:r>
        <w:rPr>
          <w:rFonts w:hint="eastAsia" w:ascii="仿宋_GB2312" w:hAnsi="仿宋_GB2312" w:eastAsia="仿宋_GB2312" w:cs="仿宋_GB2312"/>
          <w:szCs w:val="32"/>
          <w:highlight w:val="none"/>
          <w:lang w:bidi="zh-TW"/>
        </w:rPr>
        <w:t>道。发挥邮政系统、供销社系统农村网点布局优势，引导电商企业在乡镇和农村建设服务网点优化便民消费载体。实施减免税费、优惠券等措施，开展品牌消费、品质消费促销活动，促进线下产业发展平台和线上电商交易平台结合，鼓励和支持消费新业态、新模式向农村市场拓展，释放农村居民消费潜力。顺应消费升级趋势，建设高品质主题商业街，打造一批省级示范特色步行街（商圈）；培育消费地标，引导特色餐饮、老字号商店、夜间消费集聚发展，推动各区（市）创建夜间经济、假日经济示范点。推动传统和新型消费创新融合，支持具备条件的乡镇发展“互联网+服务”等消费新业态、新模式，培育农村消费新增长点。大力开发本地优质食材，成立“高凉菜系”研究院，塑造“高凉菜系”品牌，展现有滋味有文化的“高凉好菜”。支持“籺村”创品牌，打造粤西美食“麦当劳”。聚焦乡村民宿、田头小站、农贸市场建设等，多措并举促进农村消费。</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434" w:name="_Toc2873"/>
      <w:bookmarkStart w:id="1435" w:name="_Toc10257"/>
      <w:bookmarkStart w:id="1436" w:name="_Toc29157"/>
      <w:bookmarkStart w:id="1437" w:name="_Toc18266"/>
      <w:bookmarkStart w:id="1438" w:name="_Toc122"/>
      <w:bookmarkStart w:id="1439" w:name="_Toc1660"/>
      <w:bookmarkStart w:id="1440" w:name="_Toc685"/>
      <w:bookmarkStart w:id="1441" w:name="_Toc3512"/>
      <w:bookmarkStart w:id="1442" w:name="_Toc31506"/>
      <w:bookmarkStart w:id="1443" w:name="_Toc16913"/>
      <w:bookmarkStart w:id="1444" w:name="_Toc18946"/>
      <w:bookmarkStart w:id="1445" w:name="_Toc24393"/>
      <w:bookmarkStart w:id="1446" w:name="_Toc20648"/>
      <w:bookmarkStart w:id="1447" w:name="_Toc8273"/>
      <w:r>
        <w:rPr>
          <w:rFonts w:hint="eastAsia" w:ascii="黑体" w:hAnsi="黑体" w:eastAsia="黑体" w:cs="黑体"/>
          <w:b w:val="0"/>
          <w:bCs w:val="0"/>
          <w:highlight w:val="none"/>
        </w:rPr>
        <w:t>二、优化农村消费环境</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17"/>
        <w:ind w:firstLine="640"/>
        <w:rPr>
          <w:rFonts w:hint="eastAsia" w:ascii="仿宋_GB2312" w:hAnsi="仿宋_GB2312" w:eastAsia="仿宋_GB2312" w:cs="仿宋_GB2312"/>
          <w:kern w:val="0"/>
          <w:szCs w:val="22"/>
          <w:highlight w:val="none"/>
          <w:lang w:bidi="zh-TW"/>
        </w:rPr>
      </w:pPr>
      <w:r>
        <w:rPr>
          <w:rFonts w:hint="eastAsia" w:ascii="仿宋_GB2312" w:hAnsi="仿宋_GB2312" w:eastAsia="仿宋_GB2312" w:cs="仿宋_GB2312"/>
          <w:kern w:val="0"/>
          <w:szCs w:val="22"/>
          <w:highlight w:val="none"/>
        </w:rPr>
        <w:t>加</w:t>
      </w:r>
      <w:r>
        <w:rPr>
          <w:rFonts w:hint="eastAsia" w:ascii="仿宋_GB2312" w:hAnsi="仿宋_GB2312" w:eastAsia="仿宋_GB2312" w:cs="仿宋_GB2312"/>
          <w:kern w:val="0"/>
          <w:szCs w:val="22"/>
          <w:highlight w:val="none"/>
          <w:lang w:bidi="zh-TW"/>
        </w:rPr>
        <w:t>快实施农产品仓储保鲜冷链物流设施建设工程，推进田头小型仓储保鲜冷链设施、产地低温直销配送中心、国家骨干冷链物流基地建设。实施乡镇与农村地区基础网络完善工程，为扩大和升级消费提供支撑。健全农村现代流通网络体系，优化整合存量设施资源，有效降低农村物流成本。优化农村消费市场环境，加大农村流通产品监督抽查覆盖面，强化消费领域大数据应用，扩大农村对合格产品的消费使用。加大消费者权益保护力度，深入开展乡村放心消费创建活动，营造安全放心消费环境。完善农村生活性服务业支持政策，发展线上线下相结合的服务网点，推动便利化、精细化、品质化发展，满足农村居民消费升级需要，吸引城市居民下乡消费。</w:t>
      </w:r>
    </w:p>
    <w:p>
      <w:pPr>
        <w:pStyle w:val="17"/>
        <w:ind w:firstLine="0" w:firstLineChars="0"/>
        <w:rPr>
          <w:rFonts w:ascii="Times New Roman" w:hAnsi="Times New Roman" w:cs="Times New Roman"/>
          <w:kern w:val="0"/>
          <w:szCs w:val="22"/>
          <w:highlight w:val="none"/>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2" w:type="dxa"/>
            <w:noWrap w:val="0"/>
            <w:vAlign w:val="center"/>
          </w:tcPr>
          <w:p>
            <w:pPr>
              <w:autoSpaceDE w:val="0"/>
              <w:autoSpaceDN w:val="0"/>
              <w:adjustRightInd w:val="0"/>
              <w:jc w:val="center"/>
              <w:rPr>
                <w:rFonts w:ascii="Times New Roman" w:hAnsi="Times New Roman" w:eastAsia="楷体"/>
                <w:b/>
                <w:bCs/>
                <w:kern w:val="0"/>
                <w:sz w:val="24"/>
                <w:szCs w:val="20"/>
                <w:highlight w:val="none"/>
              </w:rPr>
            </w:pPr>
            <w:r>
              <w:rPr>
                <w:rFonts w:hint="eastAsia" w:ascii="黑体" w:hAnsi="黑体" w:eastAsia="黑体" w:cs="黑体"/>
                <w:b w:val="0"/>
                <w:bCs w:val="0"/>
                <w:kern w:val="0"/>
                <w:sz w:val="24"/>
                <w:szCs w:val="20"/>
                <w:highlight w:val="none"/>
              </w:rPr>
              <w:t>专栏九  全面提升农民收入水平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autoSpaceDE w:val="0"/>
              <w:autoSpaceDN w:val="0"/>
              <w:adjustRightInd w:val="0"/>
              <w:spacing w:line="360" w:lineRule="auto"/>
              <w:ind w:firstLine="482" w:firstLineChars="200"/>
              <w:jc w:val="left"/>
              <w:rPr>
                <w:rFonts w:hint="eastAsia" w:ascii="仿宋_GB2312" w:hAnsi="仿宋_GB2312" w:eastAsia="仿宋_GB2312" w:cs="仿宋_GB2312"/>
                <w:b/>
                <w:bCs/>
                <w:kern w:val="0"/>
                <w:sz w:val="24"/>
                <w:szCs w:val="20"/>
                <w:highlight w:val="none"/>
              </w:rPr>
            </w:pPr>
            <w:r>
              <w:rPr>
                <w:rFonts w:hint="eastAsia" w:ascii="仿宋_GB2312" w:hAnsi="仿宋_GB2312" w:eastAsia="仿宋_GB2312" w:cs="仿宋_GB2312"/>
                <w:b/>
                <w:bCs/>
                <w:kern w:val="0"/>
                <w:sz w:val="24"/>
                <w:szCs w:val="20"/>
                <w:highlight w:val="none"/>
              </w:rPr>
              <w:t>（一）拓宽农民就业渠道</w:t>
            </w:r>
          </w:p>
          <w:p>
            <w:pPr>
              <w:autoSpaceDE w:val="0"/>
              <w:autoSpaceDN w:val="0"/>
              <w:adjustRightInd w:val="0"/>
              <w:spacing w:line="360" w:lineRule="auto"/>
              <w:ind w:firstLine="480" w:firstLineChars="200"/>
              <w:jc w:val="left"/>
              <w:rPr>
                <w:rFonts w:hint="eastAsia" w:ascii="仿宋_GB2312" w:hAnsi="仿宋_GB2312" w:eastAsia="仿宋_GB2312" w:cs="仿宋_GB2312"/>
                <w:kern w:val="0"/>
                <w:sz w:val="24"/>
                <w:szCs w:val="20"/>
                <w:highlight w:val="none"/>
              </w:rPr>
            </w:pPr>
            <w:r>
              <w:rPr>
                <w:rFonts w:hint="eastAsia" w:ascii="仿宋_GB2312" w:hAnsi="仿宋_GB2312" w:eastAsia="仿宋_GB2312" w:cs="仿宋_GB2312"/>
                <w:kern w:val="0"/>
                <w:sz w:val="24"/>
                <w:szCs w:val="20"/>
                <w:highlight w:val="none"/>
              </w:rPr>
              <w:t>积极拓宽农民就业渠道，建立市级农村劳动力人力资源信息数据库和企业用工需求信息数据库，建立与省级人力资源信息数据库和企业用工需求信息数据库的衔接机制，推进就业信息网络覆盖全部行政村。</w:t>
            </w:r>
          </w:p>
          <w:p>
            <w:pPr>
              <w:autoSpaceDE w:val="0"/>
              <w:autoSpaceDN w:val="0"/>
              <w:adjustRightInd w:val="0"/>
              <w:spacing w:line="360" w:lineRule="auto"/>
              <w:ind w:firstLine="482" w:firstLineChars="200"/>
              <w:jc w:val="left"/>
              <w:rPr>
                <w:rFonts w:hint="eastAsia" w:ascii="仿宋_GB2312" w:hAnsi="仿宋_GB2312" w:eastAsia="仿宋_GB2312" w:cs="仿宋_GB2312"/>
                <w:b/>
                <w:bCs/>
                <w:color w:val="auto"/>
                <w:kern w:val="0"/>
                <w:sz w:val="24"/>
                <w:szCs w:val="20"/>
                <w:highlight w:val="none"/>
              </w:rPr>
            </w:pPr>
            <w:r>
              <w:rPr>
                <w:rFonts w:hint="eastAsia" w:ascii="仿宋_GB2312" w:hAnsi="仿宋_GB2312" w:eastAsia="仿宋_GB2312" w:cs="仿宋_GB2312"/>
                <w:b/>
                <w:bCs/>
                <w:color w:val="auto"/>
                <w:kern w:val="0"/>
                <w:sz w:val="24"/>
                <w:szCs w:val="20"/>
                <w:highlight w:val="none"/>
              </w:rPr>
              <w:t>（二）农民收入跃升计划</w:t>
            </w:r>
          </w:p>
          <w:p>
            <w:pPr>
              <w:autoSpaceDE w:val="0"/>
              <w:autoSpaceDN w:val="0"/>
              <w:adjustRightInd w:val="0"/>
              <w:spacing w:line="360" w:lineRule="auto"/>
              <w:ind w:firstLine="480" w:firstLineChars="200"/>
              <w:jc w:val="left"/>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auto"/>
                <w:kern w:val="0"/>
                <w:sz w:val="24"/>
                <w:szCs w:val="20"/>
                <w:highlight w:val="none"/>
              </w:rPr>
              <w:t>推动实施失业青年“启航”计划、离土农民就业专项计划，实施农村创新创业带头人培育行动，开展联农带动机制创新试点，探索财政支农项目资金折股量化到户模式，推动农民多渠道增收。</w:t>
            </w:r>
          </w:p>
          <w:p>
            <w:pPr>
              <w:autoSpaceDE w:val="0"/>
              <w:autoSpaceDN w:val="0"/>
              <w:adjustRightInd w:val="0"/>
              <w:spacing w:line="360" w:lineRule="auto"/>
              <w:ind w:firstLine="482" w:firstLineChars="200"/>
              <w:jc w:val="left"/>
              <w:rPr>
                <w:rFonts w:hint="eastAsia" w:ascii="仿宋_GB2312" w:hAnsi="仿宋_GB2312" w:eastAsia="仿宋_GB2312" w:cs="仿宋_GB2312"/>
                <w:b/>
                <w:bCs/>
                <w:color w:val="auto"/>
                <w:kern w:val="0"/>
                <w:sz w:val="24"/>
                <w:szCs w:val="20"/>
                <w:highlight w:val="none"/>
              </w:rPr>
            </w:pPr>
            <w:r>
              <w:rPr>
                <w:rFonts w:hint="eastAsia" w:ascii="仿宋_GB2312" w:hAnsi="仿宋_GB2312" w:eastAsia="仿宋_GB2312" w:cs="仿宋_GB2312"/>
                <w:b/>
                <w:bCs/>
                <w:color w:val="auto"/>
                <w:kern w:val="0"/>
                <w:sz w:val="24"/>
                <w:szCs w:val="20"/>
                <w:highlight w:val="none"/>
              </w:rPr>
              <w:t>（三）农村消费促进行动</w:t>
            </w:r>
          </w:p>
          <w:p>
            <w:pPr>
              <w:autoSpaceDE w:val="0"/>
              <w:autoSpaceDN w:val="0"/>
              <w:adjustRightInd w:val="0"/>
              <w:spacing w:line="360" w:lineRule="auto"/>
              <w:ind w:firstLine="480" w:firstLineChars="200"/>
              <w:jc w:val="left"/>
              <w:rPr>
                <w:rFonts w:ascii="Times New Roman" w:hAnsi="Times New Roman" w:eastAsia="仿宋"/>
                <w:kern w:val="0"/>
                <w:sz w:val="24"/>
                <w:szCs w:val="20"/>
                <w:highlight w:val="none"/>
              </w:rPr>
            </w:pPr>
            <w:r>
              <w:rPr>
                <w:rFonts w:hint="eastAsia" w:ascii="仿宋_GB2312" w:hAnsi="仿宋_GB2312" w:eastAsia="仿宋_GB2312" w:cs="仿宋_GB2312"/>
                <w:color w:val="auto"/>
                <w:kern w:val="0"/>
                <w:sz w:val="24"/>
                <w:szCs w:val="20"/>
                <w:highlight w:val="none"/>
                <w:lang w:bidi="zh-TW"/>
              </w:rPr>
              <w:t>实施农产品仓储保鲜冷链物流设施建设工程、乡镇与农村地区基础网络完善工程，</w:t>
            </w:r>
            <w:r>
              <w:rPr>
                <w:rFonts w:hint="eastAsia" w:ascii="仿宋_GB2312" w:hAnsi="仿宋_GB2312" w:eastAsia="仿宋_GB2312" w:cs="仿宋_GB2312"/>
                <w:color w:val="auto"/>
                <w:kern w:val="0"/>
                <w:sz w:val="24"/>
                <w:szCs w:val="20"/>
                <w:highlight w:val="none"/>
              </w:rPr>
              <w:t>健全农村现代流通网络体系。重点支持具备条件的乡镇发展“互联网+服务”等消费新业态、新模式，培育农村消费新增长点。塑造“高凉菜系”“</w:t>
            </w:r>
            <w:r>
              <w:rPr>
                <w:rFonts w:hint="eastAsia" w:ascii="仿宋_GB2312" w:hAnsi="仿宋_GB2312" w:eastAsia="仿宋_GB2312" w:cs="仿宋_GB2312"/>
                <w:color w:val="auto"/>
                <w:kern w:val="0"/>
                <w:sz w:val="24"/>
                <w:szCs w:val="20"/>
                <w:highlight w:val="none"/>
                <w:lang w:bidi="zh-TW"/>
              </w:rPr>
              <w:t>籺村</w:t>
            </w:r>
            <w:r>
              <w:rPr>
                <w:rFonts w:hint="eastAsia" w:ascii="仿宋_GB2312" w:hAnsi="仿宋_GB2312" w:eastAsia="仿宋_GB2312" w:cs="仿宋_GB2312"/>
                <w:color w:val="auto"/>
                <w:kern w:val="0"/>
                <w:sz w:val="24"/>
                <w:szCs w:val="20"/>
                <w:highlight w:val="none"/>
              </w:rPr>
              <w:t>”等品牌。深入开展乡村放心消费创建活动。</w:t>
            </w:r>
          </w:p>
        </w:tc>
      </w:tr>
    </w:tbl>
    <w:p>
      <w:pPr>
        <w:pStyle w:val="4"/>
        <w:spacing w:before="0" w:beforeLines="0" w:after="0" w:afterLines="0" w:line="600" w:lineRule="exact"/>
        <w:jc w:val="center"/>
        <w:rPr>
          <w:rFonts w:eastAsia="方正小标宋简体"/>
          <w:b w:val="0"/>
          <w:bCs w:val="0"/>
          <w:kern w:val="2"/>
          <w:sz w:val="36"/>
          <w:szCs w:val="36"/>
          <w:highlight w:val="none"/>
        </w:rPr>
      </w:pPr>
      <w:bookmarkStart w:id="1448" w:name="_Toc24356"/>
      <w:bookmarkStart w:id="1449" w:name="_Toc46384883"/>
      <w:bookmarkStart w:id="1450" w:name="_Toc46329013"/>
      <w:r>
        <w:rPr>
          <w:rFonts w:eastAsia="方正小标宋简体"/>
          <w:b w:val="0"/>
          <w:bCs w:val="0"/>
          <w:kern w:val="2"/>
          <w:sz w:val="36"/>
          <w:szCs w:val="36"/>
          <w:highlight w:val="none"/>
        </w:rPr>
        <w:br w:type="page"/>
      </w:r>
      <w:bookmarkStart w:id="1451" w:name="_Toc20420"/>
      <w:bookmarkStart w:id="1452" w:name="_Toc30538"/>
      <w:bookmarkStart w:id="1453" w:name="_Toc7348"/>
      <w:bookmarkStart w:id="1454" w:name="_Toc1545"/>
      <w:bookmarkStart w:id="1455" w:name="_Toc9651"/>
      <w:bookmarkStart w:id="1456" w:name="_Toc10234"/>
      <w:bookmarkStart w:id="1457" w:name="_Toc7774"/>
      <w:bookmarkStart w:id="1458" w:name="_Toc5267"/>
      <w:bookmarkStart w:id="1459" w:name="_Toc2337"/>
      <w:bookmarkStart w:id="1460" w:name="_Toc28630"/>
      <w:bookmarkStart w:id="1461" w:name="_Toc19213"/>
      <w:bookmarkStart w:id="1462" w:name="_Toc4251"/>
      <w:bookmarkStart w:id="1463" w:name="_Toc11219"/>
      <w:bookmarkStart w:id="1464" w:name="_Toc7140"/>
      <w:r>
        <w:rPr>
          <w:rFonts w:eastAsia="方正小标宋简体"/>
          <w:b w:val="0"/>
          <w:bCs w:val="0"/>
          <w:kern w:val="2"/>
          <w:sz w:val="36"/>
          <w:szCs w:val="36"/>
          <w:highlight w:val="none"/>
        </w:rPr>
        <w:t>第七章  巩固拓展成果 助力脱贫地区接续推进乡村振兴</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spacing w:line="600" w:lineRule="exact"/>
        <w:ind w:firstLine="600"/>
        <w:rPr>
          <w:rFonts w:hint="eastAsia" w:hAnsi="仿宋_GB2312" w:eastAsia="仿宋_GB2312" w:cs="仿宋_GB2312"/>
          <w:sz w:val="32"/>
          <w:szCs w:val="32"/>
          <w:highlight w:val="none"/>
        </w:rPr>
      </w:pPr>
      <w:r>
        <w:rPr>
          <w:rFonts w:hint="eastAsia" w:hAnsi="仿宋_GB2312" w:eastAsia="仿宋_GB2312" w:cs="仿宋_GB2312"/>
          <w:sz w:val="32"/>
          <w:szCs w:val="32"/>
          <w:highlight w:val="none"/>
        </w:rPr>
        <w:t>实现巩固拓展脱贫攻坚成果同乡村振兴有效衔接，建立农村低收入人口和脱贫地区长效帮扶机制，接续全面推进乡村振兴，确保共同富裕取得实质性进展。</w:t>
      </w:r>
    </w:p>
    <w:p>
      <w:pPr>
        <w:pStyle w:val="5"/>
        <w:spacing w:before="0" w:beforeLines="0" w:after="0" w:afterLines="0" w:line="600" w:lineRule="exact"/>
        <w:jc w:val="center"/>
        <w:rPr>
          <w:rFonts w:ascii="Times New Roman" w:hAnsi="Times New Roman" w:eastAsia="黑体"/>
          <w:b w:val="0"/>
          <w:bCs w:val="0"/>
          <w:sz w:val="32"/>
          <w:highlight w:val="none"/>
        </w:rPr>
      </w:pPr>
      <w:bookmarkStart w:id="1465" w:name="_Toc20444"/>
      <w:bookmarkStart w:id="1466" w:name="_Toc3717"/>
      <w:bookmarkStart w:id="1467" w:name="_Toc21640"/>
      <w:bookmarkStart w:id="1468" w:name="_Toc27406"/>
      <w:bookmarkStart w:id="1469" w:name="_Toc15886"/>
      <w:bookmarkStart w:id="1470" w:name="_Toc7992"/>
      <w:bookmarkStart w:id="1471" w:name="_Toc8888"/>
      <w:bookmarkStart w:id="1472" w:name="_Toc31901"/>
      <w:bookmarkStart w:id="1473" w:name="_Toc19899"/>
      <w:bookmarkStart w:id="1474" w:name="_Toc13759"/>
      <w:bookmarkStart w:id="1475" w:name="_Toc12509"/>
      <w:bookmarkStart w:id="1476" w:name="_Toc13589"/>
      <w:bookmarkStart w:id="1477" w:name="_Toc25317"/>
      <w:bookmarkStart w:id="1478" w:name="_Toc30781"/>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第一节  促进脱贫攻坚政策平稳过渡</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严格落实“四不摘”</w:t>
      </w:r>
      <w:r>
        <w:rPr>
          <w:rStyle w:val="16"/>
          <w:rFonts w:hint="eastAsia" w:ascii="仿宋_GB2312" w:hAnsi="仿宋_GB2312" w:eastAsia="仿宋_GB2312" w:cs="仿宋_GB2312"/>
          <w:sz w:val="32"/>
          <w:szCs w:val="32"/>
          <w:highlight w:val="none"/>
          <w:lang w:bidi="zh-TW"/>
        </w:rPr>
        <w:footnoteReference w:id="12"/>
      </w:r>
      <w:r>
        <w:rPr>
          <w:rFonts w:hint="eastAsia" w:ascii="仿宋_GB2312" w:hAnsi="仿宋_GB2312" w:eastAsia="仿宋_GB2312" w:cs="仿宋_GB2312"/>
          <w:sz w:val="32"/>
          <w:szCs w:val="32"/>
          <w:highlight w:val="none"/>
          <w:lang w:bidi="zh-TW"/>
        </w:rPr>
        <w:t>要求，完善返贫监测帮扶机制，巩固“两不愁三保障”成果，健全扶贫资产管理机制，推动减贫战略和工作体系平稳转型，统筹纳入乡村振兴战略，重点做好工作力量、组织保障、规划实施、项目建设、要素保障方面的有机结合，做到“一盘棋”、一体化推进。</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479" w:name="_Toc18259"/>
      <w:bookmarkStart w:id="1480" w:name="_Toc22395"/>
      <w:bookmarkStart w:id="1481" w:name="_Toc10419"/>
      <w:bookmarkStart w:id="1482" w:name="_Toc19295"/>
      <w:bookmarkStart w:id="1483" w:name="_Toc1456"/>
      <w:bookmarkStart w:id="1484" w:name="_Toc10535"/>
      <w:bookmarkStart w:id="1485" w:name="_Toc12960"/>
      <w:bookmarkStart w:id="1486" w:name="_Toc2275"/>
      <w:bookmarkStart w:id="1487" w:name="_Toc27112"/>
      <w:bookmarkStart w:id="1488" w:name="_Toc25893"/>
      <w:bookmarkStart w:id="1489" w:name="_Toc17339"/>
      <w:bookmarkStart w:id="1490" w:name="_Toc253"/>
      <w:bookmarkStart w:id="1491" w:name="_Toc17785"/>
      <w:bookmarkStart w:id="1492" w:name="_Toc15582"/>
      <w:r>
        <w:rPr>
          <w:rFonts w:hint="eastAsia" w:ascii="黑体" w:hAnsi="黑体" w:eastAsia="黑体" w:cs="黑体"/>
          <w:b w:val="0"/>
          <w:bCs w:val="0"/>
          <w:highlight w:val="none"/>
        </w:rPr>
        <w:t>一、稳定现行帮扶政策体系</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五年过渡期内严格落实“四不摘”要求，保持现行帮扶政策、资金支持、帮扶力量总体稳定。稳定兜底救助政策，落实好教育、医疗、住房、饮水、养老保障和儿童关爱等民生保障普惠性政策，并根据脱贫人口实际困难给予适度倾斜。巩固优化发展类政策，完善产业发展、就业扶持、技能培训、小额信贷支持措施，做好与乡村振兴政策衔接。</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493" w:name="_Toc9218"/>
      <w:bookmarkStart w:id="1494" w:name="_Toc11577"/>
      <w:bookmarkStart w:id="1495" w:name="_Toc5846"/>
      <w:bookmarkStart w:id="1496" w:name="_Toc595"/>
      <w:bookmarkStart w:id="1497" w:name="_Toc10890"/>
      <w:bookmarkStart w:id="1498" w:name="_Toc30699"/>
      <w:bookmarkStart w:id="1499" w:name="_Toc24908"/>
      <w:bookmarkStart w:id="1500" w:name="_Toc10150"/>
      <w:bookmarkStart w:id="1501" w:name="_Toc14857"/>
      <w:bookmarkStart w:id="1502" w:name="_Toc19798"/>
      <w:bookmarkStart w:id="1503" w:name="_Toc30251"/>
      <w:bookmarkStart w:id="1504" w:name="_Toc162"/>
      <w:bookmarkStart w:id="1505" w:name="_Toc19707"/>
      <w:bookmarkStart w:id="1506" w:name="_Toc19158"/>
      <w:r>
        <w:rPr>
          <w:rFonts w:hint="eastAsia" w:ascii="黑体" w:hAnsi="黑体" w:eastAsia="黑体" w:cs="黑体"/>
          <w:b w:val="0"/>
          <w:bCs w:val="0"/>
          <w:highlight w:val="none"/>
        </w:rPr>
        <w:t>二、完善返贫监测帮扶机制</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bCs w:val="0"/>
          <w:iCs w:val="0"/>
          <w:kern w:val="2"/>
          <w:sz w:val="32"/>
          <w:szCs w:val="32"/>
          <w:highlight w:val="none"/>
          <w:lang w:bidi="zh-TW"/>
        </w:rPr>
        <w:t>对脱贫不稳定户、边缘易致贫户，以及因病因残因灾因意外事故等刚</w:t>
      </w:r>
      <w:r>
        <w:rPr>
          <w:rFonts w:hint="eastAsia" w:ascii="仿宋_GB2312" w:hAnsi="仿宋_GB2312" w:eastAsia="仿宋_GB2312" w:cs="仿宋_GB2312"/>
          <w:sz w:val="32"/>
          <w:szCs w:val="32"/>
          <w:highlight w:val="none"/>
          <w:lang w:bidi="zh-TW"/>
        </w:rPr>
        <w:t>性支出较大或收入大幅缩减导致基本生活出现严重困难户，开展常态化监测预警，持续跟踪收支变化和“两不愁三保障”及农村饮水安全情况。健全易返贫致贫人口快速发现和响应机制，充分利用省政务信息资源共享平台以及各部门现有数据系统，加强数据比对和信息共享，建立农户主动申请、部门信息比对、基层干部定期跟踪回访相结合的易返贫致贫人口、农村低收入人口发现和核查机制，对易返贫致贫人口分层分类及时落实帮扶政策，返贫的及时落实各项帮扶举措，实行动态清零。将符合条件的低收入家庭纳入教育、住房、医疗、就业等专项救助范围，建立动态调整机制。</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507" w:name="_Toc9814"/>
      <w:bookmarkStart w:id="1508" w:name="_Toc9740"/>
      <w:bookmarkStart w:id="1509" w:name="_Toc1421"/>
      <w:bookmarkStart w:id="1510" w:name="_Toc24721"/>
      <w:bookmarkStart w:id="1511" w:name="_Toc20433"/>
      <w:bookmarkStart w:id="1512" w:name="_Toc22258"/>
      <w:bookmarkStart w:id="1513" w:name="_Toc18400"/>
      <w:bookmarkStart w:id="1514" w:name="_Toc26592"/>
      <w:bookmarkStart w:id="1515" w:name="_Toc14841"/>
      <w:bookmarkStart w:id="1516" w:name="_Toc8954"/>
      <w:bookmarkStart w:id="1517" w:name="_Toc10274"/>
      <w:bookmarkStart w:id="1518" w:name="_Toc30509"/>
      <w:bookmarkStart w:id="1519" w:name="_Toc27962"/>
      <w:bookmarkStart w:id="1520" w:name="_Toc2388"/>
      <w:r>
        <w:rPr>
          <w:rFonts w:hint="eastAsia" w:ascii="黑体" w:hAnsi="黑体" w:eastAsia="黑体" w:cs="黑体"/>
          <w:b w:val="0"/>
          <w:bCs w:val="0"/>
          <w:highlight w:val="none"/>
        </w:rPr>
        <w:t>三、巩固“两不愁三保障”成果</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spacing w:line="600" w:lineRule="exact"/>
        <w:ind w:firstLine="643"/>
        <w:rPr>
          <w:rFonts w:hint="eastAsia" w:ascii="仿宋_GB2312" w:hAnsi="仿宋_GB2312" w:eastAsia="仿宋_GB2312" w:cs="仿宋_GB2312"/>
          <w:bCs w:val="0"/>
          <w:iCs w:val="0"/>
          <w:kern w:val="0"/>
          <w:sz w:val="32"/>
          <w:szCs w:val="32"/>
          <w:highlight w:val="none"/>
          <w:lang w:bidi="zh-TW"/>
        </w:rPr>
      </w:pPr>
      <w:r>
        <w:rPr>
          <w:rFonts w:hint="eastAsia" w:ascii="仿宋_GB2312" w:hAnsi="仿宋_GB2312" w:eastAsia="仿宋_GB2312" w:cs="仿宋_GB2312"/>
          <w:bCs w:val="0"/>
          <w:iCs w:val="0"/>
          <w:kern w:val="0"/>
          <w:sz w:val="32"/>
          <w:szCs w:val="32"/>
          <w:highlight w:val="none"/>
          <w:lang w:bidi="zh-TW"/>
        </w:rPr>
        <w:t>落</w:t>
      </w:r>
      <w:r>
        <w:rPr>
          <w:rFonts w:hint="eastAsia" w:ascii="仿宋_GB2312" w:hAnsi="仿宋_GB2312" w:eastAsia="仿宋_GB2312" w:cs="仿宋_GB2312"/>
          <w:sz w:val="32"/>
          <w:szCs w:val="32"/>
          <w:highlight w:val="none"/>
          <w:lang w:bidi="zh-TW"/>
        </w:rPr>
        <w:t>实行业主管部门工作责任。健全控辍保学工作机制，确保除身体原因不具备学习条件外，脱贫家庭义务教育阶段适龄儿童少年不失学辍学。落实分类资助参保政策，有效防范因病因残返贫致贫风险。建立农村脱贫人口住房安全动态监测机制，通过农村危房改造等多种方式保障低收入人口基本住房安全。巩固维护好已建农村供水工程成果</w:t>
      </w:r>
      <w:r>
        <w:rPr>
          <w:rFonts w:hint="eastAsia" w:ascii="仿宋_GB2312" w:hAnsi="仿宋_GB2312" w:eastAsia="仿宋_GB2312" w:cs="仿宋_GB2312"/>
          <w:bCs w:val="0"/>
          <w:iCs w:val="0"/>
          <w:kern w:val="0"/>
          <w:sz w:val="32"/>
          <w:szCs w:val="32"/>
          <w:highlight w:val="none"/>
          <w:lang w:bidi="zh-TW"/>
        </w:rPr>
        <w:t>，不断提升农村供水保障水平。</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521" w:name="_Toc3252"/>
      <w:bookmarkStart w:id="1522" w:name="_Toc8901"/>
      <w:bookmarkStart w:id="1523" w:name="_Toc25081"/>
      <w:bookmarkStart w:id="1524" w:name="_Toc4544"/>
      <w:bookmarkStart w:id="1525" w:name="_Toc9798"/>
      <w:bookmarkStart w:id="1526" w:name="_Toc17583"/>
      <w:bookmarkStart w:id="1527" w:name="_Toc6006"/>
      <w:bookmarkStart w:id="1528" w:name="_Toc15736"/>
      <w:bookmarkStart w:id="1529" w:name="_Toc20738"/>
      <w:bookmarkStart w:id="1530" w:name="_Toc23292"/>
      <w:bookmarkStart w:id="1531" w:name="_Toc13798"/>
      <w:bookmarkStart w:id="1532" w:name="_Toc19373"/>
      <w:bookmarkStart w:id="1533" w:name="_Toc18187"/>
      <w:bookmarkStart w:id="1534" w:name="_Toc15875"/>
      <w:r>
        <w:rPr>
          <w:rFonts w:hint="eastAsia" w:ascii="黑体" w:hAnsi="黑体" w:eastAsia="黑体" w:cs="黑体"/>
          <w:b w:val="0"/>
          <w:bCs w:val="0"/>
          <w:highlight w:val="none"/>
        </w:rPr>
        <w:t>四、完善扶贫资产管理机制</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pPr>
        <w:spacing w:line="600" w:lineRule="exact"/>
        <w:ind w:firstLine="643"/>
        <w:rPr>
          <w:rFonts w:hint="eastAsia" w:ascii="仿宋_GB2312" w:hAnsi="仿宋_GB2312" w:eastAsia="仿宋_GB2312" w:cs="仿宋_GB2312"/>
          <w:kern w:val="0"/>
          <w:sz w:val="32"/>
          <w:szCs w:val="32"/>
          <w:highlight w:val="none"/>
          <w:lang w:bidi="zh-TW"/>
        </w:rPr>
      </w:pPr>
      <w:r>
        <w:rPr>
          <w:rFonts w:hint="eastAsia" w:ascii="仿宋_GB2312" w:hAnsi="仿宋_GB2312" w:eastAsia="仿宋_GB2312" w:cs="仿宋_GB2312"/>
          <w:kern w:val="2"/>
          <w:sz w:val="32"/>
          <w:szCs w:val="32"/>
          <w:highlight w:val="none"/>
          <w:lang w:bidi="zh-TW"/>
        </w:rPr>
        <w:t>抓好经营性扶贫资产和公益性扶贫资产确权登记工作，完善扶贫资产管理台账和制度体系</w:t>
      </w:r>
      <w:r>
        <w:rPr>
          <w:rFonts w:hint="eastAsia" w:ascii="仿宋_GB2312" w:hAnsi="仿宋_GB2312" w:eastAsia="仿宋_GB2312" w:cs="仿宋_GB2312"/>
          <w:color w:val="auto"/>
          <w:kern w:val="2"/>
          <w:sz w:val="32"/>
          <w:szCs w:val="32"/>
          <w:highlight w:val="none"/>
          <w:lang w:bidi="zh-TW"/>
        </w:rPr>
        <w:t>。</w:t>
      </w:r>
      <w:r>
        <w:rPr>
          <w:rFonts w:hint="eastAsia" w:ascii="仿宋_GB2312" w:hAnsi="仿宋_GB2312" w:eastAsia="仿宋_GB2312" w:cs="仿宋_GB2312"/>
          <w:color w:val="auto"/>
          <w:sz w:val="32"/>
          <w:szCs w:val="32"/>
          <w:highlight w:val="none"/>
          <w:lang w:bidi="zh-TW"/>
        </w:rPr>
        <w:t>加强扶贫项目资金资产管理，</w:t>
      </w:r>
      <w:r>
        <w:rPr>
          <w:rFonts w:hint="eastAsia" w:ascii="仿宋_GB2312" w:hAnsi="仿宋_GB2312" w:eastAsia="仿宋_GB2312" w:cs="仿宋_GB2312"/>
          <w:color w:val="auto"/>
          <w:kern w:val="2"/>
          <w:sz w:val="32"/>
          <w:szCs w:val="32"/>
          <w:highlight w:val="none"/>
          <w:lang w:bidi="zh-TW"/>
        </w:rPr>
        <w:t>明确扶贫资产的所有权和收益权，加强后续经营管理、维护和监督，切实保障集体和农民的合法权益</w:t>
      </w:r>
      <w:r>
        <w:rPr>
          <w:rFonts w:hint="eastAsia" w:ascii="仿宋_GB2312" w:hAnsi="仿宋_GB2312" w:eastAsia="仿宋_GB2312" w:cs="仿宋_GB2312"/>
          <w:color w:val="auto"/>
          <w:sz w:val="32"/>
          <w:szCs w:val="32"/>
          <w:highlight w:val="none"/>
          <w:lang w:bidi="zh-TW"/>
        </w:rPr>
        <w:t>。</w:t>
      </w:r>
      <w:r>
        <w:rPr>
          <w:rFonts w:hint="eastAsia" w:ascii="仿宋_GB2312" w:hAnsi="仿宋_GB2312" w:eastAsia="仿宋_GB2312" w:cs="仿宋_GB2312"/>
          <w:sz w:val="32"/>
          <w:szCs w:val="32"/>
          <w:highlight w:val="none"/>
          <w:lang w:bidi="zh-TW"/>
        </w:rPr>
        <w:t>积极</w:t>
      </w:r>
      <w:r>
        <w:rPr>
          <w:rFonts w:hint="eastAsia" w:ascii="仿宋_GB2312" w:hAnsi="仿宋_GB2312" w:eastAsia="仿宋_GB2312" w:cs="仿宋_GB2312"/>
          <w:kern w:val="2"/>
          <w:sz w:val="32"/>
          <w:szCs w:val="32"/>
          <w:highlight w:val="none"/>
          <w:lang w:bidi="zh-TW"/>
        </w:rPr>
        <w:t>探索新型运营管护机制，完善扶贫资产收益分配制度，经营性资产收益重点用于项目运营</w:t>
      </w:r>
      <w:r>
        <w:rPr>
          <w:rFonts w:hint="eastAsia" w:ascii="仿宋_GB2312" w:hAnsi="仿宋_GB2312" w:eastAsia="仿宋_GB2312" w:cs="仿宋_GB2312"/>
          <w:kern w:val="0"/>
          <w:sz w:val="32"/>
          <w:szCs w:val="32"/>
          <w:highlight w:val="none"/>
          <w:lang w:bidi="zh-TW"/>
        </w:rPr>
        <w:t>管护、巩固拓展脱贫攻坚成果、村级公益事业。强化镇村和行业部门监督责任，依法维护农户财产权利。</w:t>
      </w:r>
    </w:p>
    <w:p>
      <w:pPr>
        <w:pStyle w:val="5"/>
        <w:spacing w:before="0" w:beforeLines="0" w:after="0" w:afterLines="0" w:line="600" w:lineRule="exact"/>
        <w:jc w:val="center"/>
        <w:rPr>
          <w:rFonts w:ascii="Times New Roman" w:hAnsi="Times New Roman" w:eastAsia="黑体"/>
          <w:b w:val="0"/>
          <w:bCs w:val="0"/>
          <w:sz w:val="32"/>
          <w:highlight w:val="none"/>
        </w:rPr>
      </w:pPr>
      <w:bookmarkStart w:id="1535" w:name="_Toc21937"/>
      <w:bookmarkStart w:id="1536" w:name="_Toc16292"/>
      <w:bookmarkStart w:id="1537" w:name="_Toc29178"/>
      <w:bookmarkStart w:id="1538" w:name="_Toc2065"/>
      <w:bookmarkStart w:id="1539" w:name="_Toc3484"/>
      <w:bookmarkStart w:id="1540" w:name="_Toc27152"/>
      <w:bookmarkStart w:id="1541" w:name="_Toc29942"/>
      <w:bookmarkStart w:id="1542" w:name="_Toc11079"/>
      <w:bookmarkStart w:id="1543" w:name="_Toc18957"/>
      <w:bookmarkStart w:id="1544" w:name="_Toc5723"/>
      <w:bookmarkStart w:id="1545" w:name="_Toc10877"/>
      <w:bookmarkStart w:id="1546" w:name="_Toc16674"/>
      <w:bookmarkStart w:id="1547" w:name="_Toc8853"/>
      <w:bookmarkStart w:id="1548" w:name="_Toc4543"/>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第二节  加强农村低收入人口常态化帮扶</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adjustRightInd w:val="0"/>
        <w:snapToGrid w:val="0"/>
        <w:spacing w:line="600" w:lineRule="exact"/>
        <w:ind w:firstLine="640" w:firstLineChars="200"/>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采取精准帮扶措施，拓展稳定增收渠道，完善社会救助、关爱服务和医疗保障体系，巩固</w:t>
      </w:r>
      <w:r>
        <w:rPr>
          <w:rFonts w:hint="eastAsia" w:hAnsi="仿宋_GB2312" w:eastAsia="仿宋_GB2312" w:cs="仿宋_GB2312"/>
          <w:sz w:val="32"/>
          <w:szCs w:val="32"/>
          <w:highlight w:val="none"/>
          <w:lang w:bidi="zh-TW"/>
        </w:rPr>
        <w:t>教育和住房安全保障，</w:t>
      </w:r>
      <w:r>
        <w:rPr>
          <w:rFonts w:hint="eastAsia" w:ascii="仿宋_GB2312" w:hAnsi="仿宋_GB2312" w:eastAsia="仿宋_GB2312" w:cs="仿宋_GB2312"/>
          <w:sz w:val="32"/>
          <w:szCs w:val="32"/>
          <w:highlight w:val="none"/>
          <w:lang w:bidi="zh-TW"/>
        </w:rPr>
        <w:t>建立农村低收入人口常态化帮扶机制，促进稳定长效发展。</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549" w:name="_Toc21567"/>
      <w:bookmarkStart w:id="1550" w:name="_Toc10997"/>
      <w:bookmarkStart w:id="1551" w:name="_Toc15030"/>
      <w:bookmarkStart w:id="1552" w:name="_Toc4699"/>
      <w:bookmarkStart w:id="1553" w:name="_Toc9040"/>
      <w:bookmarkStart w:id="1554" w:name="_Toc8971"/>
      <w:bookmarkStart w:id="1555" w:name="_Toc14200"/>
      <w:bookmarkStart w:id="1556" w:name="_Toc19744"/>
      <w:bookmarkStart w:id="1557" w:name="_Toc32328"/>
      <w:r>
        <w:rPr>
          <w:rFonts w:hint="eastAsia" w:ascii="黑体" w:hAnsi="黑体" w:eastAsia="黑体" w:cs="黑体"/>
          <w:b w:val="0"/>
          <w:bCs w:val="0"/>
          <w:highlight w:val="none"/>
        </w:rPr>
        <w:t>一、拓展稳定增收渠道</w:t>
      </w:r>
      <w:bookmarkEnd w:id="1549"/>
      <w:bookmarkEnd w:id="1550"/>
      <w:bookmarkEnd w:id="1551"/>
      <w:bookmarkEnd w:id="1552"/>
      <w:bookmarkEnd w:id="1553"/>
      <w:bookmarkEnd w:id="1554"/>
      <w:bookmarkEnd w:id="1555"/>
      <w:bookmarkEnd w:id="1556"/>
      <w:bookmarkEnd w:id="1557"/>
    </w:p>
    <w:p>
      <w:pPr>
        <w:spacing w:line="600" w:lineRule="exact"/>
        <w:ind w:firstLine="643"/>
        <w:rPr>
          <w:rFonts w:hint="eastAsia" w:hAnsi="仿宋_GB2312" w:eastAsia="仿宋_GB2312" w:cs="仿宋_GB2312"/>
          <w:bCs w:val="0"/>
          <w:sz w:val="32"/>
          <w:szCs w:val="32"/>
          <w:highlight w:val="none"/>
          <w:lang w:bidi="zh-TW"/>
        </w:rPr>
      </w:pPr>
      <w:r>
        <w:rPr>
          <w:rFonts w:hint="eastAsia" w:ascii="仿宋_GB2312" w:hAnsi="仿宋_GB2312" w:eastAsia="仿宋_GB2312" w:cs="仿宋_GB2312"/>
          <w:sz w:val="32"/>
          <w:szCs w:val="32"/>
          <w:highlight w:val="none"/>
          <w:lang w:bidi="zh-TW"/>
        </w:rPr>
        <w:t>继续深入推进“粤莱师傅”“广东技工”“南粤家政”三项工程，加快实施“农村电商”“乡村工匠”“高素质农民培育”等工程。将外出务工和本地就业创业农民纳入高素质农民培训对象，促进农村劳动力技能就业和增收致富。积极开发就地就近就业岗位，吸纳更多脱贫人口和低收入人口就地就近就业。完善帮扶项目与低收入群众参与挂钩机制，采取以工代赈、生产奖补、劳务补贴等方式，组织动员低收入群众参与帮扶项目实施。完善各类产业园区吸纳劳动力就业管理机制，加强“村企”“校企”等招聘对接，继续办好扶贫车间。实施公益性岗位安置，对就业特别困难的人员进行优先安排。</w:t>
      </w:r>
      <w:r>
        <w:rPr>
          <w:rFonts w:hint="eastAsia" w:hAnsi="仿宋_GB2312" w:eastAsia="仿宋_GB2312" w:cs="仿宋_GB2312"/>
          <w:sz w:val="32"/>
          <w:szCs w:val="32"/>
          <w:highlight w:val="none"/>
          <w:lang w:bidi="zh-TW"/>
        </w:rPr>
        <w:t>到2025年，</w:t>
      </w:r>
      <w:r>
        <w:rPr>
          <w:rFonts w:hint="eastAsia" w:ascii="仿宋_GB2312" w:hAnsi="仿宋_GB2312" w:eastAsia="仿宋_GB2312" w:cs="仿宋_GB2312"/>
          <w:sz w:val="32"/>
          <w:szCs w:val="32"/>
          <w:highlight w:val="none"/>
          <w:lang w:bidi="zh-TW"/>
        </w:rPr>
        <w:t>脱贫地区农民收入增速高于全省农民平均水平。</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558" w:name="_Toc27201"/>
      <w:bookmarkStart w:id="1559" w:name="_Toc7871"/>
      <w:bookmarkStart w:id="1560" w:name="_Toc9346"/>
      <w:bookmarkStart w:id="1561" w:name="_Toc12030"/>
      <w:bookmarkStart w:id="1562" w:name="_Toc22119"/>
      <w:bookmarkStart w:id="1563" w:name="_Toc5020"/>
      <w:bookmarkStart w:id="1564" w:name="_Toc2812"/>
      <w:bookmarkStart w:id="1565" w:name="_Toc5214"/>
      <w:bookmarkStart w:id="1566" w:name="_Toc8479"/>
      <w:r>
        <w:rPr>
          <w:rFonts w:hint="eastAsia" w:ascii="黑体" w:hAnsi="黑体" w:eastAsia="黑体" w:cs="黑体"/>
          <w:b w:val="0"/>
          <w:bCs w:val="0"/>
          <w:highlight w:val="none"/>
        </w:rPr>
        <w:t>二、分层分类实施社会救助</w:t>
      </w:r>
      <w:bookmarkEnd w:id="1558"/>
      <w:bookmarkEnd w:id="1559"/>
      <w:bookmarkEnd w:id="1560"/>
      <w:bookmarkEnd w:id="1561"/>
      <w:bookmarkEnd w:id="1562"/>
      <w:bookmarkEnd w:id="1563"/>
      <w:bookmarkEnd w:id="1564"/>
      <w:bookmarkEnd w:id="1565"/>
      <w:bookmarkEnd w:id="1566"/>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健全最低生活保障制度，调整优化针对原建档立卡贫困户的低保“单人保”政策，将低收入家庭中的重病、重残人员参照“单人户”纳入低保范围。对脱贫人口中完全丧失劳动能力或部分丧失劳动能力且无法通过产业就业获得稳定收入的人口，按规定纳入农村低保或特困人员救助供养范围，并按困难类型及时给予专项救助、临时救助等。完善特困人员救助供养制度，对基本生活陷入暂时困难的群众加强临时救助，对生活不能自理的老年人、未成年人、残疾人等提供必要的访视、照料服务。</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567" w:name="_Toc21685"/>
      <w:bookmarkStart w:id="1568" w:name="_Toc29869"/>
      <w:bookmarkStart w:id="1569" w:name="_Toc8687"/>
      <w:bookmarkStart w:id="1570" w:name="_Toc12975"/>
      <w:bookmarkStart w:id="1571" w:name="_Toc26094"/>
      <w:bookmarkStart w:id="1572" w:name="_Toc6693"/>
      <w:bookmarkStart w:id="1573" w:name="_Toc27169"/>
      <w:bookmarkStart w:id="1574" w:name="_Toc7870"/>
      <w:bookmarkStart w:id="1575" w:name="_Toc22346"/>
      <w:r>
        <w:rPr>
          <w:rFonts w:hint="eastAsia" w:ascii="黑体" w:hAnsi="黑体" w:eastAsia="黑体" w:cs="黑体"/>
          <w:b w:val="0"/>
          <w:bCs w:val="0"/>
          <w:highlight w:val="none"/>
        </w:rPr>
        <w:t>三、完善养老保障和儿童关爱服务</w:t>
      </w:r>
      <w:bookmarkEnd w:id="1567"/>
      <w:bookmarkEnd w:id="1568"/>
      <w:bookmarkEnd w:id="1569"/>
      <w:bookmarkEnd w:id="1570"/>
      <w:bookmarkEnd w:id="1571"/>
      <w:bookmarkEnd w:id="1572"/>
      <w:bookmarkEnd w:id="1573"/>
      <w:bookmarkEnd w:id="1574"/>
      <w:bookmarkEnd w:id="1575"/>
    </w:p>
    <w:p>
      <w:pPr>
        <w:spacing w:line="600" w:lineRule="exact"/>
        <w:ind w:firstLine="643"/>
        <w:rPr>
          <w:rFonts w:hint="eastAsia" w:hAnsi="仿宋_GB2312" w:eastAsia="仿宋_GB2312" w:cs="仿宋_GB2312"/>
          <w:bCs w:val="0"/>
          <w:sz w:val="32"/>
          <w:szCs w:val="32"/>
          <w:highlight w:val="none"/>
          <w:lang w:bidi="zh-TW"/>
        </w:rPr>
      </w:pPr>
      <w:r>
        <w:rPr>
          <w:rFonts w:hint="eastAsia" w:hAnsi="仿宋_GB2312" w:eastAsia="仿宋_GB2312" w:cs="仿宋_GB2312"/>
          <w:bCs w:val="0"/>
          <w:sz w:val="32"/>
          <w:szCs w:val="32"/>
          <w:highlight w:val="none"/>
          <w:lang w:bidi="zh-TW"/>
        </w:rPr>
        <w:t>继续实施城乡居民基本养老保险费代缴保费政策，地方政府结合当地实际情况，按照每人每年120元标准为参加城乡居民养老保险的低</w:t>
      </w:r>
      <w:r>
        <w:rPr>
          <w:rFonts w:hint="eastAsia" w:ascii="仿宋_GB2312" w:hAnsi="仿宋_GB2312" w:eastAsia="仿宋_GB2312" w:cs="仿宋_GB2312"/>
          <w:sz w:val="32"/>
          <w:szCs w:val="32"/>
          <w:highlight w:val="none"/>
          <w:lang w:bidi="zh-TW"/>
        </w:rPr>
        <w:t>保对象、特困人员、返贫致贫人员、重度残疾人和精神智力残疾人等缴费困难群体代缴部分或全部保费。强化县镇两级公办养老机构对失能、半失能特困老年人口的兜底保障。加大对孤儿、事实无人抚养儿童、重病重残儿童等困境儿童、农村留守儿童及留守老人关爱保障力度。稳步提高困难残疾人生活补贴</w:t>
      </w:r>
      <w:r>
        <w:rPr>
          <w:rFonts w:hint="eastAsia" w:hAnsi="仿宋_GB2312" w:eastAsia="仿宋_GB2312" w:cs="仿宋_GB2312"/>
          <w:bCs w:val="0"/>
          <w:sz w:val="32"/>
          <w:szCs w:val="32"/>
          <w:highlight w:val="none"/>
          <w:lang w:bidi="zh-TW"/>
        </w:rPr>
        <w:t>和重度残疾人护理补贴标准，实施残疾人家庭无障碍改造，做好就业帮扶、托养照护、康复服务。</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576" w:name="_Toc13325"/>
      <w:bookmarkStart w:id="1577" w:name="_Toc31857"/>
      <w:bookmarkStart w:id="1578" w:name="_Toc21312"/>
      <w:bookmarkStart w:id="1579" w:name="_Toc3553"/>
      <w:bookmarkStart w:id="1580" w:name="_Toc16333"/>
      <w:bookmarkStart w:id="1581" w:name="_Toc15679"/>
      <w:bookmarkStart w:id="1582" w:name="_Toc4707"/>
      <w:bookmarkStart w:id="1583" w:name="_Toc4457"/>
      <w:bookmarkStart w:id="1584" w:name="_Toc29969"/>
      <w:r>
        <w:rPr>
          <w:rFonts w:hint="eastAsia" w:ascii="黑体" w:hAnsi="黑体" w:eastAsia="黑体" w:cs="黑体"/>
          <w:b w:val="0"/>
          <w:bCs w:val="0"/>
          <w:highlight w:val="none"/>
        </w:rPr>
        <w:t>四、加强医疗保障工作</w:t>
      </w:r>
      <w:bookmarkEnd w:id="1576"/>
      <w:bookmarkEnd w:id="1577"/>
      <w:bookmarkEnd w:id="1578"/>
      <w:bookmarkEnd w:id="1579"/>
      <w:bookmarkEnd w:id="1580"/>
      <w:bookmarkEnd w:id="1581"/>
      <w:bookmarkEnd w:id="1582"/>
      <w:bookmarkEnd w:id="1583"/>
      <w:bookmarkEnd w:id="1584"/>
    </w:p>
    <w:p>
      <w:pPr>
        <w:spacing w:line="600" w:lineRule="exact"/>
        <w:ind w:firstLine="643"/>
        <w:rPr>
          <w:rFonts w:hint="eastAsia" w:hAnsi="仿宋_GB2312" w:eastAsia="仿宋_GB2312" w:cs="仿宋_GB2312"/>
          <w:bCs w:val="0"/>
          <w:sz w:val="32"/>
          <w:szCs w:val="32"/>
          <w:highlight w:val="none"/>
          <w:lang w:bidi="zh-TW"/>
        </w:rPr>
      </w:pPr>
      <w:r>
        <w:rPr>
          <w:rFonts w:hint="eastAsia" w:ascii="仿宋_GB2312" w:hAnsi="仿宋_GB2312" w:eastAsia="仿宋_GB2312" w:cs="仿宋_GB2312"/>
          <w:sz w:val="32"/>
          <w:szCs w:val="32"/>
          <w:highlight w:val="none"/>
          <w:lang w:bidi="zh-TW"/>
        </w:rPr>
        <w:t>将农村特困人员、农村低保对象、农村低收入家庭救助对象等纳入城乡居民基本医疗救助范围，继续全额资助农村特困人员、农村低保对象、农村低收入家庭救助对象，定额资助符合条件的易返贫致贫人口，对经基本医疗保险、大病保险和其他补充医疗保险支付后，个人及其家庭难以承担的符合规定的基本医疗自负费用，给予适当比例补助。完善大病专项救冶政策和县域内先诊疗后付费政策，优化高血压等主要慢性病签约服务。</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585" w:name="_Toc25509"/>
      <w:bookmarkStart w:id="1586" w:name="_Toc6389"/>
      <w:bookmarkStart w:id="1587" w:name="_Toc5506"/>
      <w:bookmarkStart w:id="1588" w:name="_Toc26516"/>
      <w:bookmarkStart w:id="1589" w:name="_Toc8270"/>
      <w:bookmarkStart w:id="1590" w:name="_Toc7391"/>
      <w:bookmarkStart w:id="1591" w:name="_Toc20257"/>
      <w:bookmarkStart w:id="1592" w:name="_Toc32234"/>
      <w:bookmarkStart w:id="1593" w:name="_Toc9701"/>
      <w:r>
        <w:rPr>
          <w:rFonts w:hint="eastAsia" w:ascii="黑体" w:hAnsi="黑体" w:eastAsia="黑体" w:cs="黑体"/>
          <w:b w:val="0"/>
          <w:bCs w:val="0"/>
          <w:highlight w:val="none"/>
        </w:rPr>
        <w:t>五、加强教育和住房安全保障工作</w:t>
      </w:r>
      <w:bookmarkEnd w:id="1585"/>
      <w:bookmarkEnd w:id="1586"/>
      <w:bookmarkEnd w:id="1587"/>
      <w:bookmarkEnd w:id="1588"/>
      <w:bookmarkEnd w:id="1589"/>
      <w:bookmarkEnd w:id="1590"/>
      <w:bookmarkEnd w:id="1591"/>
      <w:bookmarkEnd w:id="1592"/>
      <w:bookmarkEnd w:id="1593"/>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完善控辍保学工作机制，将符合条件的脱贫家庭学生和低收入家庭学生纳入救助范围，确保除身体原因不具备学习条件外的义务教育阶段适龄儿童少年不失学辍学。建立农村脱贫人口住房安全动态监测机制，通过农村危房改造等多种方式保障低收入人口基本住房安全。</w:t>
      </w:r>
    </w:p>
    <w:p>
      <w:pPr>
        <w:pStyle w:val="5"/>
        <w:spacing w:before="0" w:beforeLines="0" w:after="0" w:afterLines="0" w:line="600" w:lineRule="exact"/>
        <w:jc w:val="center"/>
        <w:rPr>
          <w:rFonts w:ascii="Times New Roman" w:hAnsi="Times New Roman" w:eastAsia="黑体"/>
          <w:b w:val="0"/>
          <w:bCs w:val="0"/>
          <w:sz w:val="32"/>
          <w:highlight w:val="none"/>
        </w:rPr>
      </w:pPr>
      <w:bookmarkStart w:id="1594" w:name="_Toc32239"/>
      <w:bookmarkStart w:id="1595" w:name="_Toc14000"/>
      <w:bookmarkStart w:id="1596" w:name="_Toc3929"/>
      <w:bookmarkStart w:id="1597" w:name="_Toc30548"/>
      <w:bookmarkStart w:id="1598" w:name="_Toc27512"/>
      <w:bookmarkStart w:id="1599" w:name="_Toc14916"/>
      <w:bookmarkStart w:id="1600" w:name="_Toc30897"/>
      <w:bookmarkStart w:id="1601" w:name="_Toc25278"/>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第三节  衔接全面推进乡村振兴</w:t>
      </w:r>
      <w:bookmarkEnd w:id="1594"/>
      <w:bookmarkEnd w:id="1595"/>
      <w:bookmarkEnd w:id="1596"/>
      <w:bookmarkEnd w:id="1597"/>
      <w:bookmarkEnd w:id="1598"/>
      <w:bookmarkEnd w:id="1599"/>
      <w:bookmarkEnd w:id="1600"/>
      <w:bookmarkEnd w:id="1601"/>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kern w:val="0"/>
          <w:sz w:val="32"/>
          <w:szCs w:val="32"/>
          <w:highlight w:val="none"/>
          <w:lang w:bidi="zh-TW"/>
        </w:rPr>
        <w:t>发挥镇村作为</w:t>
      </w:r>
      <w:r>
        <w:rPr>
          <w:rFonts w:hint="eastAsia" w:ascii="仿宋_GB2312" w:hAnsi="仿宋_GB2312" w:eastAsia="仿宋_GB2312" w:cs="仿宋_GB2312"/>
          <w:color w:val="auto"/>
          <w:sz w:val="32"/>
          <w:szCs w:val="32"/>
          <w:highlight w:val="none"/>
          <w:lang w:bidi="zh-TW"/>
        </w:rPr>
        <w:t>巩固拓展</w:t>
      </w:r>
      <w:r>
        <w:rPr>
          <w:rFonts w:hint="eastAsia" w:ascii="仿宋_GB2312" w:hAnsi="仿宋_GB2312" w:eastAsia="仿宋_GB2312" w:cs="仿宋_GB2312"/>
          <w:sz w:val="32"/>
          <w:szCs w:val="32"/>
          <w:highlight w:val="none"/>
          <w:lang w:bidi="zh-TW"/>
        </w:rPr>
        <w:t>脱贫攻坚成果同乡村振兴有效衔接的重要节点和平台功能，深入实施驻镇帮镇扶村工作，大力发展镇村经济，补齐基础设施和公共服务短板，实施“万企兴万村”</w:t>
      </w:r>
      <w:r>
        <w:rPr>
          <w:rStyle w:val="16"/>
          <w:rFonts w:hint="eastAsia" w:ascii="仿宋_GB2312" w:hAnsi="仿宋_GB2312" w:eastAsia="仿宋_GB2312" w:cs="仿宋_GB2312"/>
          <w:sz w:val="32"/>
          <w:szCs w:val="32"/>
          <w:highlight w:val="none"/>
          <w:lang w:bidi="zh-TW"/>
        </w:rPr>
        <w:footnoteReference w:id="13"/>
      </w:r>
      <w:r>
        <w:rPr>
          <w:rFonts w:hint="eastAsia" w:ascii="仿宋_GB2312" w:hAnsi="仿宋_GB2312" w:eastAsia="仿宋_GB2312" w:cs="仿宋_GB2312"/>
          <w:sz w:val="32"/>
          <w:szCs w:val="32"/>
          <w:highlight w:val="none"/>
          <w:lang w:bidi="zh-TW"/>
        </w:rPr>
        <w:t>行动，推动脱贫攻坚工作体系全面转向乡村振兴。</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602" w:name="_Toc14430"/>
      <w:bookmarkStart w:id="1603" w:name="_Toc6306"/>
      <w:bookmarkStart w:id="1604" w:name="_Toc27501"/>
      <w:bookmarkStart w:id="1605" w:name="_Toc5929"/>
      <w:bookmarkStart w:id="1606" w:name="_Toc18745"/>
      <w:bookmarkStart w:id="1607" w:name="_Toc6451"/>
      <w:bookmarkStart w:id="1608" w:name="_Toc11850"/>
      <w:bookmarkStart w:id="1609" w:name="_Toc25644"/>
      <w:bookmarkStart w:id="1610" w:name="_Toc17777"/>
      <w:bookmarkStart w:id="1611" w:name="_Toc9237"/>
      <w:bookmarkStart w:id="1612" w:name="_Toc948"/>
      <w:bookmarkStart w:id="1613" w:name="_Toc15883"/>
      <w:bookmarkStart w:id="1614" w:name="_Toc8081"/>
      <w:bookmarkStart w:id="1615" w:name="_Toc10392"/>
      <w:r>
        <w:rPr>
          <w:rFonts w:hint="eastAsia" w:ascii="黑体" w:hAnsi="黑体" w:eastAsia="黑体" w:cs="黑体"/>
          <w:b w:val="0"/>
          <w:bCs w:val="0"/>
          <w:highlight w:val="none"/>
        </w:rPr>
        <w:t>一、实施驻镇帮镇扶村工作</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bCs w:val="0"/>
          <w:iCs w:val="0"/>
          <w:kern w:val="0"/>
          <w:sz w:val="32"/>
          <w:szCs w:val="32"/>
          <w:highlight w:val="none"/>
          <w:lang w:bidi="zh-TW"/>
        </w:rPr>
        <w:t>实施“强镇兴村”工程，把镇村作为乡村振兴支持重点，借</w:t>
      </w:r>
      <w:r>
        <w:rPr>
          <w:rFonts w:hint="eastAsia" w:ascii="仿宋_GB2312" w:hAnsi="仿宋_GB2312" w:eastAsia="仿宋_GB2312" w:cs="仿宋_GB2312"/>
          <w:sz w:val="32"/>
          <w:szCs w:val="32"/>
          <w:highlight w:val="none"/>
          <w:lang w:bidi="zh-TW"/>
        </w:rPr>
        <w:t>助省直和中直驻粤单位、珠海对口帮扶市的资源和力量，继续统筹安排各级党政机关和企事业单位参与驻镇帮镇扶村工作。采取“党政机关+企事业单位+科研力量”等方式开展组团式帮扶，调整优化乡村振兴区域结对帮扶关系。深化扩权强镇改革，把乡镇建设成为服务农民的区域中心，实</w:t>
      </w:r>
      <w:r>
        <w:rPr>
          <w:rFonts w:hint="eastAsia" w:ascii="仿宋_GB2312" w:hAnsi="仿宋_GB2312" w:eastAsia="仿宋_GB2312" w:cs="仿宋_GB2312"/>
          <w:bCs w:val="0"/>
          <w:iCs w:val="0"/>
          <w:kern w:val="0"/>
          <w:sz w:val="32"/>
          <w:szCs w:val="32"/>
          <w:highlight w:val="none"/>
          <w:lang w:bidi="zh-TW"/>
        </w:rPr>
        <w:t>现县镇村功能衔接互补。</w:t>
      </w:r>
      <w:r>
        <w:rPr>
          <w:rFonts w:hint="eastAsia" w:ascii="仿宋_GB2312" w:hAnsi="仿宋_GB2312" w:eastAsia="仿宋_GB2312" w:cs="仿宋_GB2312"/>
          <w:sz w:val="32"/>
          <w:szCs w:val="32"/>
          <w:highlight w:val="none"/>
          <w:lang w:bidi="zh-TW"/>
        </w:rPr>
        <w:t>支持有条件的地区探索实施“负面清单”管理制度，推进乡村振兴改革试点。</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616" w:name="_Toc6046"/>
      <w:bookmarkStart w:id="1617" w:name="_Toc24878"/>
      <w:bookmarkStart w:id="1618" w:name="_Toc28798"/>
      <w:bookmarkStart w:id="1619" w:name="_Toc27311"/>
      <w:bookmarkStart w:id="1620" w:name="_Toc26595"/>
      <w:bookmarkStart w:id="1621" w:name="_Toc26478"/>
      <w:bookmarkStart w:id="1622" w:name="_Toc24157"/>
      <w:bookmarkStart w:id="1623" w:name="_Toc11762"/>
      <w:bookmarkStart w:id="1624" w:name="_Toc4"/>
      <w:bookmarkStart w:id="1625" w:name="_Toc17573"/>
      <w:bookmarkStart w:id="1626" w:name="_Toc40"/>
      <w:bookmarkStart w:id="1627" w:name="_Toc20171"/>
      <w:bookmarkStart w:id="1628" w:name="_Toc18831"/>
      <w:bookmarkStart w:id="1629" w:name="_Toc313"/>
      <w:r>
        <w:rPr>
          <w:rFonts w:hint="eastAsia" w:ascii="黑体" w:hAnsi="黑体" w:eastAsia="黑体" w:cs="黑体"/>
          <w:b w:val="0"/>
          <w:bCs w:val="0"/>
          <w:highlight w:val="none"/>
        </w:rPr>
        <w:t>二、大力发展镇村经济</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spacing w:line="600" w:lineRule="exact"/>
        <w:ind w:firstLine="643"/>
        <w:rPr>
          <w:rFonts w:hint="eastAsia" w:ascii="仿宋_GB2312" w:hAnsi="仿宋_GB2312" w:eastAsia="仿宋_GB2312" w:cs="仿宋_GB2312"/>
          <w:bCs w:val="0"/>
          <w:iCs w:val="0"/>
          <w:kern w:val="0"/>
          <w:sz w:val="32"/>
          <w:szCs w:val="32"/>
          <w:highlight w:val="none"/>
          <w:lang w:bidi="zh-TW"/>
        </w:rPr>
      </w:pPr>
      <w:r>
        <w:rPr>
          <w:rFonts w:hint="eastAsia" w:ascii="仿宋_GB2312" w:hAnsi="仿宋_GB2312" w:eastAsia="仿宋_GB2312" w:cs="仿宋_GB2312"/>
          <w:bCs w:val="0"/>
          <w:iCs w:val="0"/>
          <w:kern w:val="0"/>
          <w:sz w:val="32"/>
          <w:szCs w:val="32"/>
          <w:highlight w:val="none"/>
          <w:lang w:bidi="zh-TW"/>
        </w:rPr>
        <w:t>深入推进现代农业产业体系建设，引导劳动密集型产业、农村二三产业在城镇融合发展，因地制宜发展特色小城镇。扶持培育镇村特色产业新型经营主体，充分发挥龙头企业、专业合作社、产业基地的示范带动作用，大力发展特色产业、绿</w:t>
      </w:r>
      <w:r>
        <w:rPr>
          <w:rFonts w:hint="eastAsia" w:ascii="仿宋_GB2312" w:hAnsi="仿宋_GB2312" w:eastAsia="仿宋_GB2312" w:cs="仿宋_GB2312"/>
          <w:sz w:val="32"/>
          <w:szCs w:val="32"/>
          <w:highlight w:val="none"/>
          <w:lang w:bidi="zh-TW"/>
        </w:rPr>
        <w:t>色产业。深入实施“米袋子”“菜篮子”“果盘子”“茶罐子”“药箱子”系列培育工程，加强乡镇农产品冷链配送、加工物流中心建设，培育乡村产业发展综合服务体，完善收益分配机制。引导农村集体经济组织挖掘集体土地、房屋、设施等资源和资产潜力，依法通过股份、</w:t>
      </w:r>
      <w:r>
        <w:rPr>
          <w:rFonts w:hint="eastAsia" w:ascii="仿宋_GB2312" w:hAnsi="仿宋_GB2312" w:eastAsia="仿宋_GB2312" w:cs="仿宋_GB2312"/>
          <w:bCs w:val="0"/>
          <w:iCs w:val="0"/>
          <w:kern w:val="0"/>
          <w:sz w:val="32"/>
          <w:szCs w:val="32"/>
          <w:highlight w:val="none"/>
          <w:lang w:bidi="zh-TW"/>
        </w:rPr>
        <w:t>合作、租赁等形式，积极参与产业融合发展；鼓励集体经济组织通过提供多元化社会服务，培育乡村美丽经济、生态产业、康养娱乐、休闲旅游等新产业、新业态，发展新型村集体经济。到2025年，脱贫地区</w:t>
      </w:r>
      <w:r>
        <w:rPr>
          <w:rFonts w:hint="eastAsia" w:ascii="仿宋_GB2312" w:hAnsi="仿宋_GB2312" w:eastAsia="仿宋_GB2312" w:cs="仿宋_GB2312"/>
          <w:sz w:val="32"/>
          <w:szCs w:val="32"/>
          <w:highlight w:val="none"/>
          <w:lang w:bidi="zh-TW"/>
        </w:rPr>
        <w:t>村集体经济年收入超过15万元</w:t>
      </w:r>
      <w:r>
        <w:rPr>
          <w:rFonts w:hint="eastAsia" w:ascii="仿宋_GB2312" w:hAnsi="仿宋_GB2312" w:eastAsia="仿宋_GB2312" w:cs="仿宋_GB2312"/>
          <w:bCs w:val="0"/>
          <w:iCs w:val="0"/>
          <w:kern w:val="0"/>
          <w:sz w:val="32"/>
          <w:szCs w:val="32"/>
          <w:highlight w:val="none"/>
          <w:lang w:bidi="zh-TW"/>
        </w:rPr>
        <w:t>。</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630" w:name="_Toc2467"/>
      <w:bookmarkStart w:id="1631" w:name="_Toc21033"/>
      <w:bookmarkStart w:id="1632" w:name="_Toc27653"/>
      <w:bookmarkStart w:id="1633" w:name="_Toc32325"/>
      <w:bookmarkStart w:id="1634" w:name="_Toc24685"/>
      <w:bookmarkStart w:id="1635" w:name="_Toc16767"/>
      <w:bookmarkStart w:id="1636" w:name="_Toc29465"/>
      <w:bookmarkStart w:id="1637" w:name="_Toc2035"/>
      <w:bookmarkStart w:id="1638" w:name="_Toc998"/>
      <w:bookmarkStart w:id="1639" w:name="_Toc7688"/>
      <w:bookmarkStart w:id="1640" w:name="_Toc14573"/>
      <w:bookmarkStart w:id="1641" w:name="_Toc23860"/>
      <w:bookmarkStart w:id="1642" w:name="_Toc17932"/>
      <w:bookmarkStart w:id="1643" w:name="_Toc17514"/>
      <w:r>
        <w:rPr>
          <w:rFonts w:hint="eastAsia" w:ascii="黑体" w:hAnsi="黑体" w:eastAsia="黑体" w:cs="黑体"/>
          <w:b w:val="0"/>
          <w:bCs w:val="0"/>
          <w:highlight w:val="none"/>
        </w:rPr>
        <w:t>三、加强基础设施建设</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pPr>
        <w:spacing w:line="600" w:lineRule="exact"/>
        <w:ind w:firstLine="643"/>
        <w:rPr>
          <w:rFonts w:hint="eastAsia" w:ascii="仿宋_GB2312" w:hAnsi="仿宋_GB2312" w:eastAsia="仿宋_GB2312" w:cs="仿宋_GB2312"/>
          <w:bCs w:val="0"/>
          <w:iCs w:val="0"/>
          <w:kern w:val="0"/>
          <w:sz w:val="32"/>
          <w:szCs w:val="32"/>
          <w:highlight w:val="none"/>
          <w:lang w:bidi="zh-TW"/>
        </w:rPr>
      </w:pPr>
      <w:r>
        <w:rPr>
          <w:rFonts w:hint="eastAsia" w:ascii="仿宋_GB2312" w:hAnsi="仿宋_GB2312" w:eastAsia="仿宋_GB2312" w:cs="仿宋_GB2312"/>
          <w:bCs w:val="0"/>
          <w:iCs w:val="0"/>
          <w:kern w:val="2"/>
          <w:sz w:val="32"/>
          <w:szCs w:val="32"/>
          <w:highlight w:val="none"/>
          <w:lang w:bidi="zh-TW"/>
        </w:rPr>
        <w:t>统筹县域城镇和村庄规划建设，科学布局乡村生产生活生态空间，分</w:t>
      </w:r>
      <w:r>
        <w:rPr>
          <w:rFonts w:hint="eastAsia" w:ascii="仿宋_GB2312" w:hAnsi="仿宋_GB2312" w:eastAsia="仿宋_GB2312" w:cs="仿宋_GB2312"/>
          <w:sz w:val="32"/>
          <w:szCs w:val="32"/>
          <w:highlight w:val="none"/>
          <w:lang w:bidi="zh-TW"/>
        </w:rPr>
        <w:t>类推进村庄建设，保护传统村落和乡村风貌。实施村庄基础设施改善工程，完善乡村水、电、气、道路、通信、广播电视、物流等基础设施，健全运营管护长效机制。实施数字乡村战略，加快农村地区宽带网络覆盖和5G网络建设步伐。实施农村人居环境整治提升五年行动，持续推进“千村示范、万村整治”和全域实施“五美”行动，因地制宜推进农村“厕所革命”，建立健全农村生活垃圾处理和污水治理长效机制，实施河湖水系综合整治。全面排查农村</w:t>
      </w:r>
      <w:r>
        <w:rPr>
          <w:rFonts w:hint="eastAsia" w:ascii="仿宋_GB2312" w:hAnsi="仿宋_GB2312" w:eastAsia="仿宋_GB2312" w:cs="仿宋_GB2312"/>
          <w:bCs w:val="0"/>
          <w:iCs w:val="0"/>
          <w:kern w:val="0"/>
          <w:sz w:val="32"/>
          <w:szCs w:val="32"/>
          <w:highlight w:val="none"/>
          <w:lang w:bidi="zh-TW"/>
        </w:rPr>
        <w:t>房屋安全隐患，综合整治削坡建房。提升农房建设质量，支持新建一批宜居型示范农房。</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644" w:name="_Toc8093"/>
      <w:bookmarkStart w:id="1645" w:name="_Toc18960"/>
      <w:bookmarkStart w:id="1646" w:name="_Toc3733"/>
      <w:bookmarkStart w:id="1647" w:name="_Toc17160"/>
      <w:bookmarkStart w:id="1648" w:name="_Toc1157"/>
      <w:bookmarkStart w:id="1649" w:name="_Toc7209"/>
      <w:bookmarkStart w:id="1650" w:name="_Toc30247"/>
      <w:bookmarkStart w:id="1651" w:name="_Toc30929"/>
      <w:bookmarkStart w:id="1652" w:name="_Toc28637"/>
      <w:bookmarkStart w:id="1653" w:name="_Toc16280"/>
      <w:bookmarkStart w:id="1654" w:name="_Toc145"/>
      <w:bookmarkStart w:id="1655" w:name="_Toc11044"/>
      <w:bookmarkStart w:id="1656" w:name="_Toc5644"/>
      <w:bookmarkStart w:id="1657" w:name="_Toc32263"/>
      <w:r>
        <w:rPr>
          <w:rFonts w:hint="eastAsia" w:ascii="黑体" w:hAnsi="黑体" w:eastAsia="黑体" w:cs="黑体"/>
          <w:b w:val="0"/>
          <w:bCs w:val="0"/>
          <w:highlight w:val="none"/>
        </w:rPr>
        <w:t>四、提升公共服务能力</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spacing w:line="600" w:lineRule="exact"/>
        <w:ind w:firstLine="643"/>
        <w:rPr>
          <w:rFonts w:hint="eastAsia" w:ascii="仿宋_GB2312" w:hAnsi="仿宋_GB2312" w:eastAsia="仿宋_GB2312" w:cs="仿宋_GB2312"/>
          <w:bCs w:val="0"/>
          <w:iCs w:val="0"/>
          <w:kern w:val="0"/>
          <w:sz w:val="32"/>
          <w:szCs w:val="32"/>
          <w:highlight w:val="none"/>
          <w:lang w:bidi="zh-TW"/>
        </w:rPr>
      </w:pPr>
      <w:r>
        <w:rPr>
          <w:rFonts w:hint="eastAsia" w:ascii="仿宋_GB2312" w:hAnsi="仿宋_GB2312" w:eastAsia="仿宋_GB2312" w:cs="仿宋_GB2312"/>
          <w:sz w:val="32"/>
          <w:szCs w:val="32"/>
          <w:highlight w:val="none"/>
          <w:lang w:bidi="zh-TW"/>
        </w:rPr>
        <w:t>加强农村公共服务供给县镇村统筹，进一步优化养老托育设施、文旅体育、社会福利和社区综合服务设施布局，推动公共服务资源重点向乡村倾斜，强化乡镇公共服务功能，提升村庄公共服务能力，健全党群服务中心和政务服务终端体系建设。落实每个乡镇原则上至少办好一所公办中心园，大村独立建园或设分园，小村联合办园的要求。每个乡镇（不含街道）建有1所以上义务教育寄宿制学校。完善“一村（社区）一法律顾问”制度。发挥工青妇等群团组织承接参与乡村公共服务的作用，大力培育扎根乡村的社工机构和公益志愿社会组织。挖掘、保护、传承、发展乡村特色文化</w:t>
      </w:r>
      <w:r>
        <w:rPr>
          <w:rFonts w:hint="eastAsia" w:ascii="仿宋_GB2312" w:hAnsi="仿宋_GB2312" w:eastAsia="仿宋_GB2312" w:cs="仿宋_GB2312"/>
          <w:bCs w:val="0"/>
          <w:iCs w:val="0"/>
          <w:kern w:val="0"/>
          <w:sz w:val="32"/>
          <w:szCs w:val="32"/>
          <w:highlight w:val="none"/>
          <w:lang w:bidi="zh-TW"/>
        </w:rPr>
        <w:t>。</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658" w:name="_Toc16524"/>
      <w:bookmarkStart w:id="1659" w:name="_Toc20322"/>
      <w:bookmarkStart w:id="1660" w:name="_Toc10846"/>
      <w:bookmarkStart w:id="1661" w:name="_Toc19928"/>
      <w:bookmarkStart w:id="1662" w:name="_Toc457"/>
      <w:bookmarkStart w:id="1663" w:name="_Toc13837"/>
      <w:bookmarkStart w:id="1664" w:name="_Toc1875"/>
      <w:bookmarkStart w:id="1665" w:name="_Toc19495"/>
      <w:bookmarkStart w:id="1666" w:name="_Toc27655"/>
      <w:bookmarkStart w:id="1667" w:name="_Toc6343"/>
      <w:bookmarkStart w:id="1668" w:name="_Toc21880"/>
      <w:bookmarkStart w:id="1669" w:name="_Toc24126"/>
      <w:bookmarkStart w:id="1670" w:name="_Toc2948"/>
      <w:bookmarkStart w:id="1671" w:name="_Toc6975"/>
      <w:r>
        <w:rPr>
          <w:rFonts w:hint="eastAsia" w:ascii="黑体" w:hAnsi="黑体" w:eastAsia="黑体" w:cs="黑体"/>
          <w:b w:val="0"/>
          <w:bCs w:val="0"/>
          <w:highlight w:val="none"/>
        </w:rPr>
        <w:t>五、实施“万企兴万村”行动</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pPr>
        <w:spacing w:line="600" w:lineRule="exact"/>
        <w:ind w:firstLine="643"/>
        <w:rPr>
          <w:rFonts w:hint="eastAsia" w:ascii="仿宋_GB2312" w:hAnsi="仿宋_GB2312" w:eastAsia="仿宋_GB2312" w:cs="仿宋_GB2312"/>
          <w:sz w:val="32"/>
          <w:szCs w:val="32"/>
          <w:highlight w:val="none"/>
          <w:lang w:bidi="zh-TW"/>
        </w:rPr>
      </w:pPr>
      <w:bookmarkStart w:id="1672" w:name="_Toc69916978"/>
      <w:r>
        <w:rPr>
          <w:rFonts w:hint="eastAsia" w:ascii="仿宋_GB2312" w:hAnsi="仿宋_GB2312" w:eastAsia="仿宋_GB2312" w:cs="仿宋_GB2312"/>
          <w:sz w:val="32"/>
          <w:szCs w:val="32"/>
          <w:highlight w:val="none"/>
          <w:lang w:bidi="zh-TW"/>
        </w:rPr>
        <w:t>鼓励商协会通过会镇帮扶，企业通过村企结对、村企共建等形式，积极参与乡村特色产业开发、消费帮扶协作、基础设施建设、社会化服务提供、乡村风貌提升、文明乡风培育、农村人才培养、农村低收入人口帮扶、特困群体救助等工作。加强宣传引导，打好“乡情牌”“乡愁牌”，积极动员乡贤回归。</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673" w:name="_Toc8100"/>
      <w:bookmarkStart w:id="1674" w:name="_Toc28569"/>
      <w:bookmarkStart w:id="1675" w:name="_Toc9507"/>
      <w:bookmarkStart w:id="1676" w:name="_Toc332"/>
      <w:bookmarkStart w:id="1677" w:name="_Toc2631"/>
      <w:bookmarkStart w:id="1678" w:name="_Toc26189"/>
      <w:bookmarkStart w:id="1679" w:name="_Toc23"/>
      <w:bookmarkStart w:id="1680" w:name="_Toc28394"/>
      <w:r>
        <w:rPr>
          <w:rFonts w:hint="eastAsia" w:ascii="黑体" w:hAnsi="黑体" w:eastAsia="黑体" w:cs="黑体"/>
          <w:b w:val="0"/>
          <w:bCs w:val="0"/>
          <w:highlight w:val="none"/>
        </w:rPr>
        <w:t>六、强化与广西来宾市结对共建</w:t>
      </w:r>
      <w:bookmarkEnd w:id="1673"/>
      <w:bookmarkEnd w:id="1674"/>
      <w:bookmarkEnd w:id="1675"/>
      <w:bookmarkEnd w:id="1676"/>
      <w:bookmarkEnd w:id="1677"/>
      <w:bookmarkEnd w:id="1678"/>
      <w:bookmarkEnd w:id="1679"/>
      <w:bookmarkEnd w:id="1680"/>
    </w:p>
    <w:p>
      <w:pPr>
        <w:spacing w:line="600" w:lineRule="exact"/>
        <w:ind w:firstLine="643"/>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sz w:val="32"/>
          <w:szCs w:val="32"/>
          <w:highlight w:val="none"/>
          <w:lang w:bidi="zh-TW"/>
        </w:rPr>
        <w:t>健全协作帮扶机制，完善与来宾市定期互访、联席会议机制，统筹协商重大事项。深化优势互补，加强产业协作，实现产业对接、技术合作、信息互通、市场共享。强化劳务协作，加强创业致富带头人、电商人才等创业就业培训，有针对性地开展政策宣传和就业服务，多形式开展跟踪服务。促进人才协作，在互派医教人才的基础上，进一步拓展农业科技等人才交流培训</w:t>
      </w:r>
      <w:bookmarkEnd w:id="1672"/>
      <w:r>
        <w:rPr>
          <w:rFonts w:hint="eastAsia" w:ascii="仿宋_GB2312" w:hAnsi="仿宋_GB2312" w:eastAsia="仿宋_GB2312" w:cs="仿宋_GB2312"/>
          <w:sz w:val="32"/>
          <w:szCs w:val="32"/>
          <w:highlight w:val="none"/>
          <w:lang w:bidi="zh-TW"/>
        </w:rPr>
        <w:t>。</w:t>
      </w:r>
    </w:p>
    <w:p>
      <w:pPr>
        <w:numPr>
          <w:ilvl w:val="0"/>
          <w:numId w:val="2"/>
        </w:numPr>
        <w:spacing w:line="600" w:lineRule="exact"/>
        <w:ind w:firstLine="0"/>
        <w:jc w:val="center"/>
        <w:rPr>
          <w:rFonts w:eastAsia="方正小标宋简体"/>
          <w:b w:val="0"/>
          <w:bCs w:val="0"/>
          <w:kern w:val="2"/>
          <w:sz w:val="36"/>
          <w:szCs w:val="36"/>
          <w:highlight w:val="none"/>
        </w:rPr>
      </w:pPr>
      <w:r>
        <w:rPr>
          <w:rFonts w:hint="default" w:ascii="Times New Roman" w:hAnsi="Times New Roman" w:cs="Times New Roman"/>
          <w:sz w:val="20"/>
          <w:szCs w:val="20"/>
          <w:highlight w:val="none"/>
          <w:lang w:bidi="zh-TW"/>
        </w:rPr>
        <w:br w:type="page"/>
      </w:r>
      <w:bookmarkStart w:id="1681" w:name="_Toc21653"/>
      <w:bookmarkStart w:id="1682" w:name="_Toc28698"/>
      <w:bookmarkStart w:id="1683" w:name="_Toc29371"/>
      <w:bookmarkStart w:id="1684" w:name="_Toc21813"/>
      <w:bookmarkStart w:id="1685" w:name="_Toc9502"/>
      <w:bookmarkStart w:id="1686" w:name="_Toc3974"/>
      <w:bookmarkStart w:id="1687" w:name="_Toc27158"/>
      <w:bookmarkStart w:id="1688" w:name="_Toc29273"/>
      <w:bookmarkStart w:id="1689" w:name="_Toc8969"/>
      <w:bookmarkStart w:id="1690" w:name="_Toc2376"/>
      <w:bookmarkStart w:id="1691" w:name="_Toc12263"/>
      <w:bookmarkStart w:id="1692" w:name="_Toc11991"/>
      <w:bookmarkStart w:id="1693" w:name="_Toc29592"/>
      <w:bookmarkStart w:id="1694" w:name="_Toc23049"/>
      <w:r>
        <w:rPr>
          <w:rFonts w:eastAsia="方正小标宋简体"/>
          <w:b w:val="0"/>
          <w:bCs w:val="0"/>
          <w:kern w:val="2"/>
          <w:sz w:val="36"/>
          <w:szCs w:val="36"/>
          <w:highlight w:val="none"/>
        </w:rPr>
        <w:t xml:space="preserve"> </w:t>
      </w:r>
      <w:bookmarkEnd w:id="1448"/>
      <w:bookmarkEnd w:id="1449"/>
      <w:bookmarkEnd w:id="1450"/>
      <w:r>
        <w:rPr>
          <w:rFonts w:eastAsia="方正小标宋简体"/>
          <w:b w:val="0"/>
          <w:bCs w:val="0"/>
          <w:kern w:val="2"/>
          <w:sz w:val="36"/>
          <w:szCs w:val="36"/>
          <w:highlight w:val="none"/>
        </w:rPr>
        <w:t>全面深化改革 破除制约农业农村</w:t>
      </w:r>
    </w:p>
    <w:p>
      <w:pPr>
        <w:spacing w:line="600" w:lineRule="exact"/>
        <w:ind w:firstLine="0"/>
        <w:jc w:val="center"/>
        <w:rPr>
          <w:rFonts w:eastAsia="方正小标宋简体"/>
          <w:b w:val="0"/>
          <w:bCs w:val="0"/>
          <w:kern w:val="2"/>
          <w:sz w:val="36"/>
          <w:szCs w:val="36"/>
          <w:highlight w:val="none"/>
        </w:rPr>
      </w:pPr>
      <w:r>
        <w:rPr>
          <w:rFonts w:eastAsia="方正小标宋简体"/>
          <w:b w:val="0"/>
          <w:bCs w:val="0"/>
          <w:kern w:val="2"/>
          <w:sz w:val="36"/>
          <w:szCs w:val="36"/>
          <w:highlight w:val="none"/>
        </w:rPr>
        <w:t>高质量</w:t>
      </w:r>
      <w:bookmarkEnd w:id="1681"/>
      <w:bookmarkStart w:id="1695" w:name="_Toc14310"/>
      <w:r>
        <w:rPr>
          <w:rFonts w:eastAsia="方正小标宋简体"/>
          <w:b w:val="0"/>
          <w:bCs w:val="0"/>
          <w:kern w:val="2"/>
          <w:sz w:val="36"/>
          <w:szCs w:val="36"/>
          <w:highlight w:val="none"/>
        </w:rPr>
        <w:t>发展制度障碍</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pPr>
        <w:spacing w:line="600" w:lineRule="exact"/>
        <w:ind w:firstLine="600"/>
        <w:rPr>
          <w:rFonts w:hint="eastAsia" w:hAnsi="仿宋_GB2312" w:eastAsia="仿宋_GB2312" w:cs="仿宋_GB2312"/>
          <w:sz w:val="32"/>
          <w:szCs w:val="32"/>
          <w:highlight w:val="none"/>
        </w:rPr>
      </w:pPr>
      <w:r>
        <w:rPr>
          <w:rFonts w:hint="eastAsia" w:hAnsi="仿宋_GB2312" w:eastAsia="仿宋_GB2312" w:cs="仿宋_GB2312"/>
          <w:sz w:val="32"/>
          <w:szCs w:val="32"/>
          <w:highlight w:val="none"/>
        </w:rPr>
        <w:t>以</w:t>
      </w:r>
      <w:r>
        <w:rPr>
          <w:rFonts w:hint="eastAsia" w:ascii="仿宋_GB2312" w:hAnsi="仿宋_GB2312" w:eastAsia="仿宋_GB2312" w:cs="仿宋_GB2312"/>
          <w:sz w:val="32"/>
          <w:szCs w:val="32"/>
          <w:highlight w:val="none"/>
          <w:lang w:bidi="zh-TW"/>
        </w:rPr>
        <w:t>完善产权制度和要素市场化配置为重点，深化农村改革，优先发展农业农村，建立健全构建城乡融合发展体制机制和政策体系，推动形成工农互促、城乡互补、协</w:t>
      </w:r>
      <w:r>
        <w:rPr>
          <w:rFonts w:hint="eastAsia" w:hAnsi="仿宋_GB2312" w:eastAsia="仿宋_GB2312" w:cs="仿宋_GB2312"/>
          <w:sz w:val="32"/>
          <w:szCs w:val="32"/>
          <w:highlight w:val="none"/>
        </w:rPr>
        <w:t>调发展、共同繁荣的新型工农城乡关系。</w:t>
      </w:r>
    </w:p>
    <w:p>
      <w:pPr>
        <w:pStyle w:val="5"/>
        <w:spacing w:before="0" w:beforeLines="0" w:after="0" w:afterLines="0" w:line="600" w:lineRule="exact"/>
        <w:jc w:val="center"/>
        <w:rPr>
          <w:rFonts w:ascii="Times New Roman" w:hAnsi="Times New Roman" w:eastAsia="黑体"/>
          <w:b w:val="0"/>
          <w:bCs w:val="0"/>
          <w:sz w:val="32"/>
          <w:highlight w:val="none"/>
        </w:rPr>
      </w:pPr>
      <w:bookmarkStart w:id="1696" w:name="_Toc28118"/>
      <w:bookmarkStart w:id="1697" w:name="_Toc46384884"/>
      <w:bookmarkStart w:id="1698" w:name="_Toc19090"/>
      <w:bookmarkStart w:id="1699" w:name="_Toc19822"/>
      <w:bookmarkStart w:id="1700" w:name="_Toc6827"/>
      <w:bookmarkStart w:id="1701" w:name="_Toc5896"/>
      <w:bookmarkStart w:id="1702" w:name="_Toc14321"/>
      <w:bookmarkStart w:id="1703" w:name="_Toc46329014"/>
      <w:bookmarkStart w:id="1704" w:name="_Toc13927"/>
      <w:bookmarkStart w:id="1705" w:name="_Toc2793"/>
      <w:bookmarkStart w:id="1706" w:name="_Toc28149"/>
      <w:bookmarkStart w:id="1707" w:name="_Toc19094"/>
      <w:bookmarkStart w:id="1708" w:name="_Toc11383"/>
      <w:bookmarkStart w:id="1709" w:name="_Toc18879"/>
      <w:bookmarkStart w:id="1710" w:name="_Toc32699"/>
      <w:bookmarkStart w:id="1711" w:name="_Toc17738"/>
      <w:bookmarkStart w:id="1712" w:name="_Toc25868"/>
      <w:r>
        <w:rPr>
          <w:rFonts w:ascii="Times New Roman" w:hAnsi="Times New Roman" w:eastAsia="黑体"/>
          <w:b w:val="0"/>
          <w:bCs w:val="0"/>
          <w:sz w:val="32"/>
          <w:highlight w:val="none"/>
        </w:rPr>
        <w:t>第一节  全面激发农村内生活力</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pPr>
        <w:spacing w:line="600" w:lineRule="exact"/>
        <w:ind w:firstLine="600"/>
        <w:rPr>
          <w:rFonts w:hint="eastAsia" w:hAnsi="仿宋_GB2312" w:eastAsia="仿宋_GB2312" w:cs="仿宋_GB2312"/>
          <w:b w:val="0"/>
          <w:highlight w:val="none"/>
        </w:rPr>
      </w:pPr>
      <w:bookmarkStart w:id="1713" w:name="_Toc46329015"/>
      <w:bookmarkStart w:id="1714" w:name="_Toc27145"/>
      <w:bookmarkStart w:id="1715" w:name="_Toc46384885"/>
      <w:r>
        <w:rPr>
          <w:rFonts w:hint="eastAsia" w:hAnsi="仿宋_GB2312" w:eastAsia="仿宋_GB2312" w:cs="仿宋_GB2312"/>
          <w:kern w:val="0"/>
          <w:sz w:val="32"/>
          <w:szCs w:val="32"/>
          <w:highlight w:val="none"/>
        </w:rPr>
        <w:t>巩固完善农村基本经营制度，深化农村土地制度、集体产权制度改革，推进重点区域、关键领域改革，盘活农村各类资源要素，激活农村发展的内在活力和持久动力。</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716" w:name="_Toc31348"/>
      <w:bookmarkStart w:id="1717" w:name="_Toc30700"/>
      <w:bookmarkStart w:id="1718" w:name="_Toc19767"/>
      <w:bookmarkStart w:id="1719" w:name="_Toc30643"/>
      <w:bookmarkStart w:id="1720" w:name="_Toc6804"/>
      <w:bookmarkStart w:id="1721" w:name="_Toc9186"/>
      <w:bookmarkStart w:id="1722" w:name="_Toc32759"/>
      <w:bookmarkStart w:id="1723" w:name="_Toc17214"/>
      <w:bookmarkStart w:id="1724" w:name="_Toc12343"/>
      <w:bookmarkStart w:id="1725" w:name="_Toc504"/>
      <w:bookmarkStart w:id="1726" w:name="_Toc8865"/>
      <w:bookmarkStart w:id="1727" w:name="_Toc26623"/>
      <w:bookmarkStart w:id="1728" w:name="_Toc29487"/>
      <w:bookmarkStart w:id="1729" w:name="_Toc18898"/>
      <w:r>
        <w:rPr>
          <w:rFonts w:hint="eastAsia" w:ascii="黑体" w:hAnsi="黑体" w:eastAsia="黑体" w:cs="黑体"/>
          <w:b w:val="0"/>
          <w:bCs w:val="0"/>
          <w:highlight w:val="none"/>
        </w:rPr>
        <w:t>一、巩固完善农村基本经营制度</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p>
    <w:p>
      <w:pPr>
        <w:pStyle w:val="22"/>
        <w:spacing w:line="600" w:lineRule="exact"/>
        <w:ind w:firstLine="640" w:firstLineChars="200"/>
        <w:rPr>
          <w:rFonts w:hint="eastAsia" w:ascii="仿宋_GB2312" w:hAnsi="仿宋_GB2312" w:eastAsia="仿宋_GB2312" w:cs="仿宋_GB2312"/>
          <w:bCs/>
          <w:iCs/>
          <w:kern w:val="21"/>
          <w:sz w:val="32"/>
          <w:szCs w:val="36"/>
          <w:highlight w:val="none"/>
        </w:rPr>
      </w:pPr>
      <w:r>
        <w:rPr>
          <w:rFonts w:hint="eastAsia" w:ascii="仿宋_GB2312" w:hAnsi="仿宋_GB2312" w:eastAsia="仿宋_GB2312" w:cs="仿宋_GB2312"/>
          <w:bCs/>
          <w:iCs/>
          <w:kern w:val="21"/>
          <w:sz w:val="32"/>
          <w:szCs w:val="36"/>
          <w:highlight w:val="none"/>
        </w:rPr>
        <w:t>贯彻落实农村土地承包关系稳定并长久不变政策，落实好第二轮土地承包到期后再延长30年的政策。深化落实农村土地制度改革，强化农民集体土地所有权权能，严格依法保护农户承包权，加快放</w:t>
      </w:r>
      <w:r>
        <w:rPr>
          <w:rFonts w:hint="eastAsia" w:ascii="仿宋_GB2312" w:hAnsi="仿宋_GB2312" w:eastAsia="仿宋_GB2312" w:cs="仿宋_GB2312"/>
          <w:sz w:val="32"/>
          <w:szCs w:val="32"/>
          <w:highlight w:val="none"/>
          <w:lang w:bidi="zh-TW"/>
        </w:rPr>
        <w:t>活土地经营权，完善农村承包地“三权分置”的有效组织形式、经营方式和发展路径。完善土地承包经营纠纷调解仲裁体系，加强承包土地流转服务中心和流</w:t>
      </w:r>
      <w:r>
        <w:rPr>
          <w:rFonts w:hint="eastAsia" w:ascii="仿宋_GB2312" w:hAnsi="仿宋_GB2312" w:eastAsia="仿宋_GB2312" w:cs="仿宋_GB2312"/>
          <w:kern w:val="0"/>
          <w:sz w:val="32"/>
          <w:szCs w:val="22"/>
          <w:highlight w:val="none"/>
        </w:rPr>
        <w:t>转交易服务点建设，坚持宜租则租、宜股则股，创新土地股份合作的实</w:t>
      </w:r>
      <w:r>
        <w:rPr>
          <w:rFonts w:hint="eastAsia" w:ascii="仿宋_GB2312" w:hAnsi="仿宋_GB2312" w:eastAsia="仿宋_GB2312" w:cs="仿宋_GB2312"/>
          <w:sz w:val="32"/>
          <w:szCs w:val="32"/>
          <w:highlight w:val="none"/>
          <w:lang w:bidi="zh-TW"/>
        </w:rPr>
        <w:t>现形式，实现农村土地线下流转向线上流转、口头流转向协议流转、零星分散向集中连片经营转变，提高土地规模经营效益和效率。发挥集体经济组织的功能作用，鼓励开展土地统筹经营与托管服务，监督流转土地使用，防止和纠正长期抛荒、损坏耕地、非法改</w:t>
      </w:r>
      <w:r>
        <w:rPr>
          <w:rFonts w:hint="eastAsia" w:ascii="仿宋_GB2312" w:hAnsi="仿宋_GB2312" w:eastAsia="仿宋_GB2312" w:cs="仿宋_GB2312"/>
          <w:bCs/>
          <w:iCs/>
          <w:kern w:val="21"/>
          <w:sz w:val="32"/>
          <w:szCs w:val="36"/>
          <w:highlight w:val="none"/>
        </w:rPr>
        <w:t>变土地用途等行为。完善集体林权制度，引导林权规范有序流转，鼓励发展家庭林场、股份合作林场。</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730" w:name="_Toc21523"/>
      <w:bookmarkStart w:id="1731" w:name="_Toc3714"/>
      <w:bookmarkStart w:id="1732" w:name="_Toc32741"/>
      <w:bookmarkStart w:id="1733" w:name="_Toc1488"/>
      <w:bookmarkStart w:id="1734" w:name="_Toc13037"/>
      <w:bookmarkStart w:id="1735" w:name="_Toc21198"/>
      <w:bookmarkStart w:id="1736" w:name="_Toc14531"/>
      <w:bookmarkStart w:id="1737" w:name="_Toc5416"/>
      <w:bookmarkStart w:id="1738" w:name="_Toc25048"/>
      <w:bookmarkStart w:id="1739" w:name="_Toc21216"/>
      <w:bookmarkStart w:id="1740" w:name="_Toc6758"/>
      <w:bookmarkStart w:id="1741" w:name="_Toc8415"/>
      <w:bookmarkStart w:id="1742" w:name="_Toc46329016"/>
      <w:bookmarkStart w:id="1743" w:name="_Toc14118"/>
      <w:bookmarkStart w:id="1744" w:name="_Toc14370"/>
      <w:bookmarkStart w:id="1745" w:name="_Toc46384886"/>
      <w:bookmarkStart w:id="1746" w:name="_Toc23539"/>
      <w:r>
        <w:rPr>
          <w:rFonts w:hint="eastAsia" w:ascii="黑体" w:hAnsi="黑体" w:eastAsia="黑体" w:cs="黑体"/>
          <w:b w:val="0"/>
          <w:bCs w:val="0"/>
          <w:highlight w:val="none"/>
        </w:rPr>
        <w:t>二、稳慎开展农村宅基地改革</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spacing w:line="600" w:lineRule="exact"/>
        <w:ind w:firstLine="600"/>
        <w:rPr>
          <w:rFonts w:hint="eastAsia" w:hAnsi="仿宋_GB2312" w:eastAsia="仿宋_GB2312" w:cs="仿宋_GB2312"/>
          <w:sz w:val="32"/>
          <w:szCs w:val="32"/>
          <w:highlight w:val="none"/>
        </w:rPr>
      </w:pPr>
      <w:r>
        <w:rPr>
          <w:rFonts w:hint="eastAsia" w:ascii="仿宋_GB2312" w:hAnsi="仿宋_GB2312" w:eastAsia="仿宋_GB2312" w:cs="仿宋_GB2312"/>
          <w:bCs/>
          <w:iCs/>
          <w:kern w:val="21"/>
          <w:sz w:val="32"/>
          <w:szCs w:val="36"/>
          <w:highlight w:val="none"/>
        </w:rPr>
        <w:t>贯</w:t>
      </w:r>
      <w:r>
        <w:rPr>
          <w:rFonts w:hint="eastAsia" w:ascii="仿宋_GB2312" w:hAnsi="仿宋_GB2312" w:eastAsia="仿宋_GB2312" w:cs="仿宋_GB2312"/>
          <w:sz w:val="32"/>
          <w:szCs w:val="32"/>
          <w:highlight w:val="none"/>
          <w:lang w:bidi="zh-TW"/>
        </w:rPr>
        <w:t>彻落实国家、省相关政策，加快推进房地一体宅基地使用权确权登记颁证，探索宅基地所有权、资格权、使用权“三权分置”，适度放活宅基地和农民房屋使用权。巩固房地一体农村不动产</w:t>
      </w:r>
      <w:r>
        <w:rPr>
          <w:rFonts w:hint="eastAsia" w:ascii="Times New Roman" w:hAnsi="仿宋_GB2312" w:eastAsia="仿宋_GB2312" w:cs="仿宋_GB2312"/>
          <w:sz w:val="32"/>
          <w:szCs w:val="32"/>
          <w:highlight w:val="none"/>
          <w:lang w:bidi="zh-TW"/>
        </w:rPr>
        <w:t>登记确权发证成果，建立和完善房地一体农村不动产权籍调查和确权登记成果数据库，有序对“一户多宅”、超占面积等进行分类认定和处置。在符合国土空间规划和用途管制的前提下，探索通过整理、复垦、复绿等方式，对退出的宅基地有序开展整治。深入推进旧村庄改造，遵循房屋产权调换和货币补偿相结合的市场化补偿原则，明确征收农村集体土地上房屋的补偿标准。鼓励农村集体经济组织以出租、合作、入股等方式盘活利用闲置农房及宅基地，通过村庄整治、宅基地整理、拆旧复垦等节约出建设用地，发</w:t>
      </w:r>
      <w:r>
        <w:rPr>
          <w:rFonts w:hint="eastAsia" w:hAnsi="仿宋_GB2312" w:eastAsia="仿宋_GB2312" w:cs="仿宋_GB2312"/>
          <w:sz w:val="32"/>
          <w:szCs w:val="32"/>
          <w:highlight w:val="none"/>
        </w:rPr>
        <w:t>展民宿民俗、创意办公、休闲农业、乡村旅游、养老养生等新产业、新业态。在符合农</w:t>
      </w:r>
      <w:r>
        <w:rPr>
          <w:rFonts w:hint="eastAsia" w:ascii="Times New Roman" w:hAnsi="仿宋_GB2312" w:eastAsia="仿宋_GB2312" w:cs="仿宋_GB2312"/>
          <w:sz w:val="32"/>
          <w:szCs w:val="32"/>
          <w:highlight w:val="none"/>
          <w:lang w:bidi="zh-TW"/>
        </w:rPr>
        <w:t>村宅基地管理规定和相关规划的前提下，允许返乡下乡人员和当地农民合作改建自住房，发展乡村产业。探索在城乡结合部、城郊地区开展集体建设用地建设农民公寓或集资建房，充分利用盘活的空闲宅基</w:t>
      </w:r>
      <w:r>
        <w:rPr>
          <w:rFonts w:hint="eastAsia" w:hAnsi="仿宋_GB2312" w:eastAsia="仿宋_GB2312" w:cs="仿宋_GB2312"/>
          <w:sz w:val="32"/>
          <w:szCs w:val="32"/>
          <w:highlight w:val="none"/>
        </w:rPr>
        <w:t>地和其他农村集体建设用地。</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747" w:name="_Toc9638"/>
      <w:bookmarkStart w:id="1748" w:name="_Toc8873"/>
      <w:bookmarkStart w:id="1749" w:name="_Toc30782"/>
      <w:bookmarkStart w:id="1750" w:name="_Toc11164"/>
      <w:bookmarkStart w:id="1751" w:name="_Toc13199"/>
      <w:bookmarkStart w:id="1752" w:name="_Toc24257"/>
      <w:bookmarkStart w:id="1753" w:name="_Toc24871"/>
      <w:bookmarkStart w:id="1754" w:name="_Toc2210"/>
      <w:bookmarkStart w:id="1755" w:name="_Toc22161"/>
      <w:bookmarkStart w:id="1756" w:name="_Toc12888"/>
      <w:bookmarkStart w:id="1757" w:name="_Toc1862"/>
      <w:bookmarkStart w:id="1758" w:name="_Toc23901"/>
      <w:bookmarkStart w:id="1759" w:name="_Toc19206"/>
      <w:bookmarkStart w:id="1760" w:name="_Toc30991"/>
      <w:bookmarkStart w:id="1761" w:name="_Toc9042"/>
      <w:bookmarkStart w:id="1762" w:name="_Toc46329017"/>
      <w:bookmarkStart w:id="1763" w:name="_Toc46384887"/>
      <w:r>
        <w:rPr>
          <w:rFonts w:hint="eastAsia" w:ascii="黑体" w:hAnsi="黑体" w:eastAsia="黑体" w:cs="黑体"/>
          <w:b w:val="0"/>
          <w:bCs w:val="0"/>
          <w:highlight w:val="none"/>
        </w:rPr>
        <w:t>三</w:t>
      </w:r>
      <w:bookmarkStart w:id="1764" w:name="_Toc50987605"/>
      <w:r>
        <w:rPr>
          <w:rFonts w:hint="eastAsia" w:ascii="黑体" w:hAnsi="黑体" w:eastAsia="黑体" w:cs="黑体"/>
          <w:b w:val="0"/>
          <w:bCs w:val="0"/>
          <w:highlight w:val="none"/>
        </w:rPr>
        <w:t>、</w:t>
      </w:r>
      <w:bookmarkEnd w:id="1747"/>
      <w:bookmarkEnd w:id="1764"/>
      <w:r>
        <w:rPr>
          <w:rFonts w:hint="eastAsia" w:ascii="黑体" w:hAnsi="黑体" w:eastAsia="黑体" w:cs="黑体"/>
          <w:b w:val="0"/>
          <w:bCs w:val="0"/>
          <w:highlight w:val="none"/>
        </w:rPr>
        <w:t>积极探索农村集体经营性建设用地入市制度</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pPr>
        <w:spacing w:line="600" w:lineRule="exact"/>
        <w:ind w:firstLine="600"/>
        <w:rPr>
          <w:rFonts w:hint="eastAsia" w:hAnsi="仿宋_GB2312" w:eastAsia="仿宋_GB2312" w:cs="仿宋_GB2312"/>
          <w:snapToGrid/>
          <w:kern w:val="0"/>
          <w:sz w:val="32"/>
          <w:szCs w:val="32"/>
          <w:highlight w:val="none"/>
        </w:rPr>
      </w:pPr>
      <w:r>
        <w:rPr>
          <w:rFonts w:hint="eastAsia" w:ascii="仿宋_GB2312" w:hAnsi="仿宋_GB2312" w:eastAsia="仿宋_GB2312" w:cs="仿宋_GB2312"/>
          <w:bCs w:val="0"/>
          <w:iCs w:val="0"/>
          <w:kern w:val="2"/>
          <w:sz w:val="32"/>
          <w:szCs w:val="32"/>
          <w:highlight w:val="none"/>
        </w:rPr>
        <w:t>积极争取国家</w:t>
      </w:r>
      <w:r>
        <w:rPr>
          <w:rFonts w:hint="eastAsia" w:ascii="仿宋_GB2312" w:hAnsi="仿宋_GB2312" w:eastAsia="仿宋_GB2312" w:cs="仿宋_GB2312"/>
          <w:sz w:val="32"/>
          <w:szCs w:val="32"/>
          <w:highlight w:val="none"/>
          <w:lang w:bidi="ar-SA"/>
        </w:rPr>
        <w:t>和省的支持，在符合规划和用途管制的前提下，</w:t>
      </w:r>
      <w:r>
        <w:rPr>
          <w:rFonts w:hint="eastAsia" w:ascii="Times New Roman" w:hAnsi="仿宋_GB2312" w:eastAsia="仿宋_GB2312" w:cs="仿宋_GB2312"/>
          <w:sz w:val="32"/>
          <w:szCs w:val="32"/>
          <w:highlight w:val="none"/>
          <w:lang w:bidi="zh-TW"/>
        </w:rPr>
        <w:t>探索农村集体经营性建设用地出让、租赁，形成同权同价、流转顺畅、收益共享的农村集体经营性建设用地入市制度。大力支持拆旧复垦农村旧住宅、废弃宅基地、“空心村”等闲置建设用地，在优先满足本地农村建设和发展需求的基础上，以公开交易方式流转拆旧复垦腾退出来的节余部分建设用地指标，所得收益扣除成本后按规定比例分配给县级财政、镇级财政、村民委员会、土地所有权人和土地使用权人，扩大农村建设资金来源。调整完善拆旧复垦指标收益分配机</w:t>
      </w:r>
      <w:r>
        <w:rPr>
          <w:rFonts w:hint="eastAsia" w:hAnsi="仿宋_GB2312" w:eastAsia="仿宋_GB2312" w:cs="仿宋_GB2312"/>
          <w:snapToGrid/>
          <w:kern w:val="0"/>
          <w:sz w:val="32"/>
          <w:szCs w:val="32"/>
          <w:highlight w:val="none"/>
        </w:rPr>
        <w:t>制和复垦地块规模分配机制。</w:t>
      </w:r>
    </w:p>
    <w:bookmarkEnd w:id="1762"/>
    <w:bookmarkEnd w:id="1763"/>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765" w:name="_Toc8049"/>
      <w:bookmarkStart w:id="1766" w:name="_Toc8777"/>
      <w:bookmarkStart w:id="1767" w:name="_Toc29630"/>
      <w:bookmarkStart w:id="1768" w:name="_Toc21433"/>
      <w:bookmarkStart w:id="1769" w:name="_Toc6253"/>
      <w:bookmarkStart w:id="1770" w:name="_Toc31580"/>
      <w:bookmarkStart w:id="1771" w:name="_Toc24805"/>
      <w:bookmarkStart w:id="1772" w:name="_Toc30721"/>
      <w:bookmarkStart w:id="1773" w:name="_Toc29248"/>
      <w:bookmarkStart w:id="1774" w:name="_Toc46329018"/>
      <w:bookmarkStart w:id="1775" w:name="_Toc25657"/>
      <w:bookmarkStart w:id="1776" w:name="_Toc1940"/>
      <w:bookmarkStart w:id="1777" w:name="_Toc46384888"/>
      <w:bookmarkStart w:id="1778" w:name="_Toc14965"/>
      <w:bookmarkStart w:id="1779" w:name="_Toc20353"/>
      <w:bookmarkStart w:id="1780" w:name="_Toc15441"/>
      <w:bookmarkStart w:id="1781" w:name="_Toc10648"/>
      <w:r>
        <w:rPr>
          <w:rFonts w:hint="eastAsia" w:ascii="黑体" w:hAnsi="黑体" w:eastAsia="黑体" w:cs="黑体"/>
          <w:b w:val="0"/>
          <w:bCs w:val="0"/>
          <w:highlight w:val="none"/>
        </w:rPr>
        <w:t>四、深化农村集体产权制度改革</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spacing w:line="600" w:lineRule="exact"/>
        <w:ind w:firstLine="600"/>
        <w:rPr>
          <w:rFonts w:hint="eastAsia" w:hAnsi="仿宋_GB2312" w:eastAsia="仿宋_GB2312" w:cs="仿宋_GB2312"/>
          <w:snapToGrid/>
          <w:sz w:val="32"/>
          <w:szCs w:val="32"/>
          <w:highlight w:val="none"/>
        </w:rPr>
      </w:pPr>
      <w:r>
        <w:rPr>
          <w:rFonts w:hint="eastAsia" w:hAnsi="仿宋_GB2312" w:eastAsia="仿宋_GB2312" w:cs="仿宋_GB2312"/>
          <w:snapToGrid/>
          <w:kern w:val="2"/>
          <w:sz w:val="32"/>
          <w:szCs w:val="32"/>
          <w:highlight w:val="none"/>
        </w:rPr>
        <w:t>进一步深化农村集体产权制</w:t>
      </w:r>
      <w:r>
        <w:rPr>
          <w:rFonts w:hint="eastAsia" w:ascii="仿宋_GB2312" w:hAnsi="仿宋_GB2312" w:eastAsia="仿宋_GB2312" w:cs="仿宋_GB2312"/>
          <w:kern w:val="2"/>
          <w:sz w:val="32"/>
          <w:szCs w:val="32"/>
          <w:highlight w:val="none"/>
          <w:lang w:bidi="ar-SA"/>
        </w:rPr>
        <w:t>度改革，赋予农民对集体资产股份占有、收益、有偿退出、抵押、担保、继承权等六项权能。深化农村集体经营性资产股份合作制改革，在全市推广农村“三变”改革试点经验，深入开展“三变”+农村土地流转、“三变”+土地股份合作制改革、“三变”+农村集体产权制度改革等发展新方式。鼓励整合集体积累资金、政府帮扶资金等，通过入股或参股龙头企业、村与村合作、村企联手共建、扶贫开发等多种形式发展农村集体经济。鼓励发展新型农村集体经济。加强农村集体“三资”管理，完善农村集体资产管理交易平台，使农村集体资产交易流程化、定制化、阳光化，“三资”监管规范化、全面化、实时化，推动农村集体资产财务管理制度化、规范化、</w:t>
      </w:r>
      <w:r>
        <w:rPr>
          <w:rFonts w:hint="eastAsia" w:hAnsi="仿宋_GB2312" w:eastAsia="仿宋_GB2312" w:cs="仿宋_GB2312"/>
          <w:snapToGrid/>
          <w:kern w:val="2"/>
          <w:sz w:val="32"/>
          <w:szCs w:val="32"/>
          <w:highlight w:val="none"/>
        </w:rPr>
        <w:t>信息化。进一步深化集体林权、水利设施产权改革。到2025年，全市构建起归属清</w:t>
      </w:r>
      <w:r>
        <w:rPr>
          <w:rFonts w:hint="eastAsia" w:hAnsi="仿宋_GB2312" w:eastAsia="仿宋_GB2312" w:cs="仿宋_GB2312"/>
          <w:snapToGrid/>
          <w:sz w:val="32"/>
          <w:szCs w:val="32"/>
          <w:highlight w:val="none"/>
        </w:rPr>
        <w:t>晰、权能完整、流转顺畅、保护严格的中国特色社会主义农村集体产权制度。</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782" w:name="_Toc17255"/>
      <w:bookmarkStart w:id="1783" w:name="_Toc15915"/>
      <w:bookmarkStart w:id="1784" w:name="_Toc31628"/>
      <w:bookmarkStart w:id="1785" w:name="_Toc30230"/>
      <w:bookmarkStart w:id="1786" w:name="_Toc17887"/>
      <w:bookmarkStart w:id="1787" w:name="_Toc46384889"/>
      <w:bookmarkStart w:id="1788" w:name="_Toc11327"/>
      <w:bookmarkStart w:id="1789" w:name="_Toc46329019"/>
      <w:bookmarkStart w:id="1790" w:name="_Toc5975"/>
      <w:bookmarkStart w:id="1791" w:name="_Toc3237"/>
      <w:bookmarkStart w:id="1792" w:name="_Toc2936"/>
      <w:bookmarkStart w:id="1793" w:name="_Toc20771"/>
      <w:bookmarkStart w:id="1794" w:name="_Toc4533"/>
      <w:bookmarkStart w:id="1795" w:name="_Toc24619"/>
      <w:bookmarkStart w:id="1796" w:name="_Toc3760"/>
      <w:bookmarkStart w:id="1797" w:name="_Toc30707"/>
      <w:bookmarkStart w:id="1798" w:name="_Toc7112"/>
      <w:r>
        <w:rPr>
          <w:rFonts w:hint="eastAsia" w:ascii="黑体" w:hAnsi="黑体" w:eastAsia="黑体" w:cs="黑体"/>
          <w:b w:val="0"/>
          <w:bCs w:val="0"/>
          <w:highlight w:val="none"/>
        </w:rPr>
        <w:t>五、深化农垦、供销合作社改革</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spacing w:line="600" w:lineRule="exact"/>
        <w:ind w:firstLine="600"/>
        <w:rPr>
          <w:rFonts w:hint="eastAsia" w:hAnsi="仿宋_GB2312" w:eastAsia="仿宋_GB2312" w:cs="仿宋_GB2312"/>
          <w:snapToGrid/>
          <w:kern w:val="0"/>
          <w:sz w:val="32"/>
          <w:szCs w:val="32"/>
          <w:highlight w:val="none"/>
        </w:rPr>
      </w:pPr>
      <w:r>
        <w:rPr>
          <w:rFonts w:hint="eastAsia" w:hAnsi="仿宋_GB2312" w:eastAsia="仿宋_GB2312" w:cs="仿宋_GB2312"/>
          <w:kern w:val="0"/>
          <w:sz w:val="32"/>
          <w:szCs w:val="32"/>
          <w:highlight w:val="none"/>
        </w:rPr>
        <w:t>促进强农</w:t>
      </w:r>
      <w:r>
        <w:rPr>
          <w:rFonts w:hint="eastAsia" w:ascii="Times New Roman" w:hAnsi="仿宋_GB2312" w:eastAsia="仿宋_GB2312" w:cs="仿宋_GB2312"/>
          <w:sz w:val="32"/>
          <w:szCs w:val="32"/>
          <w:highlight w:val="none"/>
          <w:lang w:bidi="zh-TW"/>
        </w:rPr>
        <w:t>惠农富农和改善民生等政策向农垦覆盖。稳妥推进农垦社企分开改革，因地制宜推进国有农场办社会职能改革，支持农垦集团以垦区集团化、农场企业化为主线，深化管理体制和经营机制改革。全面深化供销合作社综合改革，推动供销合作社从购销服务向农村综合服务转变。采取政府引导、社会参与、互助合作方式，发挥供销社示范带动作用，整合农机、农技、供销、信用合作、产权交易、专业协会等公益性和经营性社会化服务资源，打造集生产、供</w:t>
      </w:r>
      <w:r>
        <w:rPr>
          <w:rFonts w:hint="eastAsia" w:hAnsi="仿宋_GB2312" w:eastAsia="仿宋_GB2312" w:cs="仿宋_GB2312"/>
          <w:snapToGrid/>
          <w:kern w:val="0"/>
          <w:sz w:val="32"/>
          <w:szCs w:val="32"/>
          <w:highlight w:val="none"/>
        </w:rPr>
        <w:t>销、信用、消费于一体的县、镇、村综合服务平台。到2025年，全市构建起集农业生产服务、农产品流通服务、农村电商服务、农村合作金融服务、城乡社区综合服务于一体的助农服务体系。</w:t>
      </w:r>
    </w:p>
    <w:p>
      <w:pPr>
        <w:pStyle w:val="6"/>
        <w:spacing w:before="0" w:beforeLines="0" w:after="0" w:afterLines="0" w:line="600" w:lineRule="exact"/>
        <w:ind w:firstLine="640" w:firstLineChars="200"/>
        <w:rPr>
          <w:rFonts w:hint="eastAsia" w:ascii="黑体" w:hAnsi="黑体" w:eastAsia="黑体" w:cs="黑体"/>
          <w:b w:val="0"/>
          <w:bCs w:val="0"/>
          <w:color w:val="auto"/>
          <w:highlight w:val="none"/>
        </w:rPr>
      </w:pPr>
      <w:bookmarkStart w:id="1799" w:name="_Toc13611"/>
      <w:bookmarkStart w:id="1800" w:name="_Toc14235"/>
      <w:bookmarkStart w:id="1801" w:name="_Toc9437"/>
      <w:bookmarkStart w:id="1802" w:name="_Toc30614"/>
      <w:bookmarkStart w:id="1803" w:name="_Toc29408"/>
      <w:bookmarkStart w:id="1804" w:name="_Toc9847"/>
      <w:r>
        <w:rPr>
          <w:rFonts w:hint="eastAsia" w:ascii="黑体" w:hAnsi="黑体" w:eastAsia="黑体" w:cs="黑体"/>
          <w:b w:val="0"/>
          <w:bCs w:val="0"/>
          <w:color w:val="auto"/>
          <w:highlight w:val="none"/>
        </w:rPr>
        <w:t>六、加快推进农业水价综合改革</w:t>
      </w:r>
      <w:bookmarkEnd w:id="1799"/>
      <w:bookmarkEnd w:id="1800"/>
      <w:bookmarkEnd w:id="1801"/>
      <w:bookmarkEnd w:id="1802"/>
      <w:bookmarkEnd w:id="1803"/>
      <w:bookmarkEnd w:id="1804"/>
    </w:p>
    <w:p>
      <w:pPr>
        <w:spacing w:line="600" w:lineRule="exact"/>
        <w:ind w:firstLine="600"/>
        <w:rPr>
          <w:rFonts w:hint="eastAsia" w:hAnsi="仿宋_GB2312" w:eastAsia="仿宋_GB2312" w:cs="仿宋_GB2312"/>
          <w:snapToGrid/>
          <w:color w:val="auto"/>
          <w:kern w:val="0"/>
          <w:sz w:val="32"/>
          <w:szCs w:val="32"/>
          <w:highlight w:val="none"/>
        </w:rPr>
      </w:pPr>
      <w:r>
        <w:rPr>
          <w:rFonts w:hint="eastAsia" w:hAnsi="仿宋_GB2312" w:eastAsia="仿宋_GB2312" w:cs="仿宋_GB2312"/>
          <w:snapToGrid/>
          <w:color w:val="auto"/>
          <w:kern w:val="0"/>
          <w:sz w:val="32"/>
          <w:szCs w:val="32"/>
          <w:highlight w:val="none"/>
        </w:rPr>
        <w:t>按照广东省农业水价综合改革的要求，坚持工程建设与机制建立并重，将有效灌溉面积范围内的新增大中型灌排工程、高标准农田和高效节水灌溉项目区作为改革实施重点，加快推进农业水价形成机制、精准补贴和节水奖励机制、工程建设和管护机制、用水管理机制协同落地，促进农业节水和可持续发展。抓好信宜市农业水价综合改革试点工作。至2025年，全市完成农业水价改革实施面积231.2万亩。</w:t>
      </w:r>
    </w:p>
    <w:p>
      <w:pPr>
        <w:spacing w:line="600" w:lineRule="exact"/>
        <w:ind w:firstLine="600"/>
        <w:rPr>
          <w:rFonts w:hint="eastAsia" w:hAnsi="仿宋_GB2312" w:eastAsia="仿宋_GB2312" w:cs="仿宋_GB2312"/>
          <w:snapToGrid/>
          <w:kern w:val="0"/>
          <w:sz w:val="32"/>
          <w:szCs w:val="32"/>
          <w:highlight w:val="none"/>
        </w:rPr>
      </w:pPr>
    </w:p>
    <w:p>
      <w:pPr>
        <w:pStyle w:val="5"/>
        <w:spacing w:before="0" w:beforeLines="0" w:after="0" w:afterLines="0" w:line="600" w:lineRule="exact"/>
        <w:jc w:val="center"/>
        <w:rPr>
          <w:rFonts w:ascii="Times New Roman" w:hAnsi="Times New Roman" w:eastAsia="黑体"/>
          <w:b w:val="0"/>
          <w:bCs w:val="0"/>
          <w:sz w:val="32"/>
          <w:highlight w:val="none"/>
        </w:rPr>
      </w:pPr>
      <w:bookmarkStart w:id="1805" w:name="_Toc30425"/>
      <w:bookmarkStart w:id="1806" w:name="_Toc29995"/>
      <w:bookmarkStart w:id="1807" w:name="_Toc14863"/>
      <w:bookmarkStart w:id="1808" w:name="_Toc46329020"/>
      <w:bookmarkStart w:id="1809" w:name="_Toc13052"/>
      <w:bookmarkStart w:id="1810" w:name="_Toc17252"/>
      <w:bookmarkStart w:id="1811" w:name="_Toc28502"/>
      <w:bookmarkStart w:id="1812" w:name="_Toc14384"/>
      <w:bookmarkStart w:id="1813" w:name="_Toc9153"/>
      <w:bookmarkStart w:id="1814" w:name="_Toc16723"/>
      <w:bookmarkStart w:id="1815" w:name="_Toc20971"/>
      <w:bookmarkStart w:id="1816" w:name="_Toc16028"/>
      <w:bookmarkStart w:id="1817" w:name="_Toc46384890"/>
      <w:bookmarkStart w:id="1818" w:name="_Toc6353"/>
      <w:bookmarkStart w:id="1819" w:name="_Toc27022"/>
      <w:bookmarkStart w:id="1820" w:name="_Toc26915"/>
      <w:bookmarkStart w:id="1821" w:name="_Toc15153"/>
      <w:r>
        <w:rPr>
          <w:rFonts w:ascii="Times New Roman" w:hAnsi="Times New Roman" w:eastAsia="黑体"/>
          <w:b w:val="0"/>
          <w:bCs w:val="0"/>
          <w:sz w:val="32"/>
          <w:highlight w:val="none"/>
        </w:rPr>
        <w:t>第二节  推动城乡要素优化配置</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p>
    <w:p>
      <w:pPr>
        <w:spacing w:line="600" w:lineRule="exact"/>
        <w:ind w:firstLine="600"/>
        <w:rPr>
          <w:rFonts w:hint="eastAsia" w:hAnsi="仿宋_GB2312" w:eastAsia="仿宋_GB2312" w:cs="仿宋_GB2312"/>
          <w:snapToGrid/>
          <w:sz w:val="32"/>
          <w:szCs w:val="32"/>
          <w:highlight w:val="none"/>
          <w:shd w:val="clear" w:color="auto" w:fill="auto"/>
        </w:rPr>
      </w:pPr>
      <w:bookmarkStart w:id="1822" w:name="_Toc46329021"/>
      <w:bookmarkStart w:id="1823" w:name="_Toc23115"/>
      <w:bookmarkStart w:id="1824" w:name="_Toc46384891"/>
      <w:r>
        <w:rPr>
          <w:rFonts w:hint="eastAsia" w:hAnsi="仿宋_GB2312" w:eastAsia="仿宋_GB2312" w:cs="仿宋_GB2312"/>
          <w:snapToGrid/>
          <w:sz w:val="32"/>
          <w:szCs w:val="32"/>
          <w:highlight w:val="none"/>
          <w:shd w:val="clear" w:color="auto" w:fill="auto"/>
        </w:rPr>
        <w:t>以建立城乡人才自由流动机制、创新乡村振兴多元投入机制、保障农业农村发展用地供给为重点，坚决破除妨碍城乡要素自由流动和平等交换的体制机制壁垒，构建资源要素在城乡之间双向流动的制度体系。</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825" w:name="_Toc15373"/>
      <w:bookmarkStart w:id="1826" w:name="_Toc25804"/>
      <w:bookmarkStart w:id="1827" w:name="_Toc565"/>
      <w:bookmarkStart w:id="1828" w:name="_Toc24213"/>
      <w:bookmarkStart w:id="1829" w:name="_Toc22365"/>
      <w:bookmarkStart w:id="1830" w:name="_Toc19116"/>
      <w:bookmarkStart w:id="1831" w:name="_Toc12941"/>
      <w:bookmarkStart w:id="1832" w:name="_Toc29112"/>
      <w:bookmarkStart w:id="1833" w:name="_Toc27066"/>
      <w:bookmarkStart w:id="1834" w:name="_Toc8819"/>
      <w:bookmarkStart w:id="1835" w:name="_Toc4780"/>
      <w:bookmarkStart w:id="1836" w:name="_Toc2049"/>
      <w:bookmarkStart w:id="1837" w:name="_Toc7582"/>
      <w:bookmarkStart w:id="1838" w:name="_Toc29668"/>
      <w:r>
        <w:rPr>
          <w:rFonts w:hint="eastAsia" w:ascii="黑体" w:hAnsi="黑体" w:eastAsia="黑体" w:cs="黑体"/>
          <w:b w:val="0"/>
          <w:bCs w:val="0"/>
          <w:highlight w:val="none"/>
        </w:rPr>
        <w:t>一、完善城乡人才流动保障体系</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pPr>
        <w:pStyle w:val="20"/>
        <w:spacing w:line="600" w:lineRule="exact"/>
        <w:ind w:firstLine="643" w:firstLineChars="200"/>
        <w:rPr>
          <w:rFonts w:hint="eastAsia" w:ascii="仿宋_GB2312" w:hAnsi="仿宋_GB2312" w:eastAsia="仿宋_GB2312" w:cs="仿宋_GB2312"/>
          <w:kern w:val="0"/>
          <w:sz w:val="32"/>
          <w:szCs w:val="32"/>
          <w:highlight w:val="none"/>
        </w:rPr>
      </w:pPr>
      <w:bookmarkStart w:id="1839" w:name="_Toc46329022"/>
      <w:bookmarkStart w:id="1840" w:name="_Toc46384892"/>
      <w:r>
        <w:rPr>
          <w:rFonts w:hint="eastAsia" w:ascii="仿宋_GB2312" w:hAnsi="仿宋_GB2312" w:eastAsia="仿宋_GB2312" w:cs="仿宋_GB2312"/>
          <w:b/>
          <w:bCs/>
          <w:sz w:val="32"/>
          <w:highlight w:val="none"/>
        </w:rPr>
        <w:t>加快推进农业转移人口市民化。</w:t>
      </w:r>
      <w:r>
        <w:rPr>
          <w:rFonts w:hint="eastAsia" w:ascii="仿宋_GB2312" w:hAnsi="仿宋_GB2312" w:eastAsia="仿宋_GB2312" w:cs="仿宋_GB2312"/>
          <w:kern w:val="0"/>
          <w:sz w:val="32"/>
          <w:szCs w:val="32"/>
          <w:highlight w:val="none"/>
        </w:rPr>
        <w:t>加快推进户籍制度改革，放开放宽城镇落户限制。</w:t>
      </w:r>
      <w:r>
        <w:rPr>
          <w:rFonts w:hint="eastAsia" w:ascii="仿宋_GB2312" w:hAnsi="仿宋_GB2312" w:eastAsia="仿宋_GB2312" w:cs="仿宋_GB2312"/>
          <w:sz w:val="32"/>
          <w:szCs w:val="36"/>
          <w:highlight w:val="none"/>
        </w:rPr>
        <w:t>探索农民就地城镇化机制，积极引导农业转移人口在就业地落户。</w:t>
      </w:r>
      <w:r>
        <w:rPr>
          <w:rFonts w:hint="eastAsia" w:ascii="仿宋_GB2312" w:hAnsi="仿宋_GB2312" w:eastAsia="仿宋_GB2312" w:cs="仿宋_GB2312"/>
          <w:sz w:val="32"/>
          <w:highlight w:val="none"/>
        </w:rPr>
        <w:t>引导适宜乡村产业向小城镇集聚，做大做强镇域经济，提升城镇的建设水平、承载能力和容纳功能，推动农民就地就近就业，促进城市人才、资金等资源要素向小城镇、乡村流动，构筑联接城市和农村的桥梁、要素流通的通道。</w:t>
      </w:r>
      <w:r>
        <w:rPr>
          <w:rFonts w:hint="eastAsia" w:ascii="仿宋_GB2312" w:hAnsi="仿宋_GB2312" w:eastAsia="仿宋_GB2312" w:cs="仿宋_GB2312"/>
          <w:sz w:val="32"/>
          <w:szCs w:val="36"/>
          <w:highlight w:val="none"/>
        </w:rPr>
        <w:t>探索建立由政府、企业、个人共同参与的农业转移人口市民化成本分担机制，建立健全农业转移人口与建设用地、建设资金、转移支付挂钩机制等。</w:t>
      </w:r>
      <w:r>
        <w:rPr>
          <w:rFonts w:hint="eastAsia" w:ascii="仿宋_GB2312" w:hAnsi="仿宋_GB2312" w:eastAsia="仿宋_GB2312" w:cs="仿宋_GB2312"/>
          <w:kern w:val="0"/>
          <w:sz w:val="32"/>
          <w:szCs w:val="32"/>
          <w:highlight w:val="none"/>
        </w:rPr>
        <w:t>鼓励农民的非农就业，维护进城落户农民土地承包权、宅基地使用权、集体收益分配权，支持引导其依法自愿有偿转让上述权益。</w:t>
      </w:r>
    </w:p>
    <w:p>
      <w:pPr>
        <w:widowControl/>
        <w:spacing w:line="600" w:lineRule="exact"/>
        <w:ind w:firstLine="600"/>
        <w:rPr>
          <w:rFonts w:hint="eastAsia" w:ascii="仿宋_GB2312" w:hAnsi="仿宋_GB2312" w:eastAsia="仿宋_GB2312" w:cs="仿宋_GB2312"/>
          <w:sz w:val="32"/>
          <w:szCs w:val="32"/>
          <w:highlight w:val="none"/>
          <w:lang w:bidi="zh-TW"/>
        </w:rPr>
      </w:pPr>
      <w:r>
        <w:rPr>
          <w:rFonts w:hint="eastAsia" w:hAnsi="仿宋_GB2312" w:eastAsia="仿宋_GB2312" w:cs="仿宋_GB2312"/>
          <w:b/>
          <w:bCs/>
          <w:sz w:val="32"/>
          <w:highlight w:val="none"/>
        </w:rPr>
        <w:t>推动人才资源双向流动。</w:t>
      </w:r>
      <w:r>
        <w:rPr>
          <w:rFonts w:hint="eastAsia" w:ascii="仿宋_GB2312" w:hAnsi="仿宋_GB2312" w:eastAsia="仿宋_GB2312" w:cs="仿宋_GB2312"/>
          <w:sz w:val="32"/>
          <w:szCs w:val="32"/>
          <w:highlight w:val="none"/>
          <w:lang w:bidi="zh-TW"/>
        </w:rPr>
        <w:t>加快推进市级、县级乡村振兴学院以及镇级教学点的建设，做大乡村人才队伍增量。深入实施高素质农民培育工程、“乡村工匠”工程、农村电商技能人才培育工程，大力实施“粤菜师傅”“广东技工”“南粤家政”工程，促进农村劳动力技能就业和增收致富。建好用好乡村振兴人才驿站。继续实施高校毕业生“三支一扶”计划，每年招募200名高校毕业生到基层一线从事“三支一扶”工作。实施科技人才助农工程，发展壮大科技特派员队伍，引导科技人才、高校毕业生等下乡和返乡创新创业。组建市乡村振兴专家库，组织专家帮助乡村培养乡土实用人才、服务产业发展、推广实用技术。实施“两本四专”高校服务乡村振兴行动，发挥好农林、健康、师范、科技等行业特色高校服务乡村振兴的突出优势。培养乡村规划建设人才、乡村教师、乡村医生、乡村文化旅游人才、农村社会工作人才、农村法律人才，为农民生产生活、农村社会服务提供技术支持和服务保障。</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841" w:name="_Toc18596"/>
      <w:bookmarkStart w:id="1842" w:name="_Toc22219"/>
      <w:bookmarkStart w:id="1843" w:name="_Toc4603"/>
      <w:bookmarkStart w:id="1844" w:name="_Toc16437"/>
      <w:bookmarkStart w:id="1845" w:name="_Toc15155"/>
      <w:bookmarkStart w:id="1846" w:name="_Toc22301"/>
      <w:bookmarkStart w:id="1847" w:name="_Toc14002"/>
      <w:bookmarkStart w:id="1848" w:name="_Toc10184"/>
      <w:bookmarkStart w:id="1849" w:name="_Toc25520"/>
      <w:bookmarkStart w:id="1850" w:name="_Toc22609"/>
      <w:bookmarkStart w:id="1851" w:name="_Toc27816"/>
      <w:bookmarkStart w:id="1852" w:name="_Toc2570"/>
      <w:bookmarkStart w:id="1853" w:name="_Toc25996"/>
      <w:bookmarkStart w:id="1854" w:name="_Toc16441"/>
      <w:bookmarkStart w:id="1855" w:name="_Toc26572"/>
      <w:bookmarkStart w:id="1856" w:name="_Toc26178"/>
      <w:r>
        <w:rPr>
          <w:rFonts w:hint="eastAsia" w:ascii="黑体" w:hAnsi="黑体" w:eastAsia="黑体" w:cs="黑体"/>
          <w:b w:val="0"/>
          <w:bCs w:val="0"/>
          <w:highlight w:val="none"/>
        </w:rPr>
        <w:t>二、创新乡村振兴多元投入机制</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pPr>
        <w:pStyle w:val="20"/>
        <w:spacing w:line="600" w:lineRule="exact"/>
        <w:ind w:firstLine="643" w:firstLineChars="200"/>
        <w:rPr>
          <w:rFonts w:hint="eastAsia" w:ascii="仿宋_GB2312" w:hAnsi="仿宋_GB2312" w:eastAsia="仿宋_GB2312" w:cs="仿宋_GB2312"/>
          <w:b/>
          <w:bCs/>
          <w:sz w:val="32"/>
          <w:szCs w:val="36"/>
          <w:highlight w:val="none"/>
        </w:rPr>
      </w:pPr>
      <w:bookmarkStart w:id="1857" w:name="_Toc25492100"/>
      <w:r>
        <w:rPr>
          <w:rFonts w:hint="eastAsia" w:ascii="仿宋_GB2312" w:hAnsi="仿宋_GB2312" w:eastAsia="仿宋_GB2312" w:cs="仿宋_GB2312"/>
          <w:b/>
          <w:bCs/>
          <w:sz w:val="32"/>
          <w:highlight w:val="none"/>
        </w:rPr>
        <w:t>稳定涉农财政投入。</w:t>
      </w:r>
      <w:r>
        <w:rPr>
          <w:rFonts w:hint="eastAsia" w:ascii="仿宋_GB2312" w:hAnsi="仿宋_GB2312" w:eastAsia="仿宋_GB2312" w:cs="仿宋_GB2312"/>
          <w:sz w:val="32"/>
          <w:szCs w:val="36"/>
          <w:highlight w:val="none"/>
        </w:rPr>
        <w:t>明确和强化各</w:t>
      </w:r>
      <w:r>
        <w:rPr>
          <w:rFonts w:hint="eastAsia" w:ascii="仿宋_GB2312" w:hAnsi="仿宋_GB2312" w:eastAsia="仿宋_GB2312" w:cs="仿宋_GB2312"/>
          <w:sz w:val="32"/>
          <w:szCs w:val="32"/>
          <w:highlight w:val="none"/>
          <w:lang w:bidi="zh-TW"/>
        </w:rPr>
        <w:t>级政府“三农”投入责任，公共财政更大力度向“三农”倾斜，确保资金投入与乡村振兴目标任务相适应。按照“源头整合、中间优化、末</w:t>
      </w:r>
      <w:r>
        <w:rPr>
          <w:rFonts w:hint="eastAsia" w:ascii="仿宋_GB2312" w:hAnsi="仿宋_GB2312" w:eastAsia="仿宋_GB2312" w:cs="仿宋_GB2312"/>
          <w:sz w:val="32"/>
          <w:szCs w:val="36"/>
          <w:highlight w:val="none"/>
        </w:rPr>
        <w:t>端放</w:t>
      </w:r>
      <w:r>
        <w:rPr>
          <w:rFonts w:hint="eastAsia" w:ascii="仿宋_GB2312" w:hAnsi="仿宋_GB2312" w:eastAsia="仿宋_GB2312" w:cs="仿宋_GB2312"/>
          <w:sz w:val="32"/>
          <w:szCs w:val="32"/>
          <w:highlight w:val="none"/>
          <w:lang w:bidi="zh-TW"/>
        </w:rPr>
        <w:t>大”的基本思路，积极建立涉农资金统筹整合长效机制，实行目标、任务、资金、权责“四到县”。通过“大专项”捆绑财政涉农资金，</w:t>
      </w:r>
      <w:r>
        <w:rPr>
          <w:rFonts w:hint="eastAsia" w:ascii="仿宋_GB2312" w:hAnsi="仿宋_GB2312" w:eastAsia="仿宋_GB2312" w:cs="仿宋_GB2312"/>
          <w:sz w:val="32"/>
          <w:szCs w:val="32"/>
          <w:highlight w:val="none"/>
        </w:rPr>
        <w:t>由各区（县级市、经济功能区）</w:t>
      </w:r>
      <w:r>
        <w:rPr>
          <w:rFonts w:hint="eastAsia" w:ascii="仿宋_GB2312" w:hAnsi="仿宋_GB2312" w:eastAsia="仿宋_GB2312" w:cs="仿宋_GB2312"/>
          <w:sz w:val="32"/>
          <w:szCs w:val="32"/>
          <w:highlight w:val="none"/>
          <w:lang w:bidi="zh-TW"/>
        </w:rPr>
        <w:t>按照本地区农业生产和农村社会发展规划，结合上级工作部署和任务，统筹规划项目，建立完善项目库，引导涉农资金向重点区域和主导产</w:t>
      </w:r>
      <w:r>
        <w:rPr>
          <w:rFonts w:hint="eastAsia" w:ascii="仿宋_GB2312" w:hAnsi="仿宋_GB2312" w:eastAsia="仿宋_GB2312" w:cs="仿宋_GB2312"/>
          <w:sz w:val="32"/>
          <w:szCs w:val="36"/>
          <w:highlight w:val="none"/>
        </w:rPr>
        <w:t>业集聚，促进涉</w:t>
      </w:r>
      <w:r>
        <w:rPr>
          <w:rFonts w:hint="eastAsia" w:ascii="仿宋_GB2312" w:hAnsi="仿宋_GB2312" w:eastAsia="仿宋_GB2312" w:cs="仿宋_GB2312"/>
          <w:sz w:val="32"/>
          <w:szCs w:val="32"/>
          <w:highlight w:val="none"/>
          <w:lang w:bidi="zh-TW"/>
        </w:rPr>
        <w:t>农资金集中精准投放，提升支农政策效果和支农资金使用效益。加大政府投资对农业绿色生产、可持续发展、农村人居环境、基本公共服务等重点领域和薄弱环节支持力度，充分发挥投资对优化供给结构的关键性作用。加强驻镇帮镇扶村资金保障。落实国家《关于调整完善土地出让收入使用范围优先支持乡村振兴的意见》</w:t>
      </w:r>
      <w:r>
        <w:rPr>
          <w:rFonts w:hint="eastAsia" w:ascii="仿宋_GB2312" w:hAnsi="仿宋_GB2312" w:eastAsia="仿宋_GB2312" w:cs="仿宋_GB2312"/>
          <w:sz w:val="32"/>
          <w:szCs w:val="36"/>
          <w:highlight w:val="none"/>
          <w:lang w:bidi="zh-TW"/>
        </w:rPr>
        <w:t>，</w:t>
      </w:r>
      <w:r>
        <w:rPr>
          <w:rFonts w:hint="eastAsia" w:ascii="仿宋_GB2312" w:hAnsi="仿宋_GB2312" w:eastAsia="仿宋_GB2312" w:cs="仿宋_GB2312"/>
          <w:sz w:val="32"/>
          <w:szCs w:val="36"/>
          <w:highlight w:val="none"/>
        </w:rPr>
        <w:t>逐步实现土地出让收益用于农业农村比例达到50%以上目标。积极申报国家、省级乡村振兴战略专项资金。用好拆旧复垦等政策，将所得收益主要用于巩固脱贫攻坚和支持农业农村发展。发挥财政资金的引导和杠杆作用，创新投入方式，通过政府与社会资本合作、贴息、以奖代补、民办公助、风险补偿等措施，引导和撬动更多金融资本和社会资本投向农业农村。强化支农资金监督管理。</w:t>
      </w:r>
    </w:p>
    <w:p>
      <w:pPr>
        <w:pStyle w:val="20"/>
        <w:spacing w:line="600" w:lineRule="exact"/>
        <w:ind w:firstLine="643"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b/>
          <w:bCs/>
          <w:sz w:val="32"/>
          <w:highlight w:val="none"/>
        </w:rPr>
        <w:t>引导和撬动社会资本。</w:t>
      </w:r>
      <w:r>
        <w:rPr>
          <w:rFonts w:hint="eastAsia" w:ascii="仿宋_GB2312" w:hAnsi="仿宋_GB2312" w:eastAsia="仿宋_GB2312" w:cs="仿宋_GB2312"/>
          <w:sz w:val="32"/>
          <w:szCs w:val="36"/>
          <w:highlight w:val="none"/>
        </w:rPr>
        <w:t>优化乡</w:t>
      </w:r>
      <w:r>
        <w:rPr>
          <w:rFonts w:hint="eastAsia" w:ascii="仿宋_GB2312" w:hAnsi="仿宋_GB2312" w:eastAsia="仿宋_GB2312" w:cs="仿宋_GB2312"/>
          <w:sz w:val="32"/>
          <w:szCs w:val="32"/>
          <w:highlight w:val="none"/>
          <w:lang w:bidi="zh-TW"/>
        </w:rPr>
        <w:t>村营商环境，加大农村基础设施和公用事业领域开放力度，吸引社会资本投入农业农村。鼓励社会资本投入农业农村，对企业投资建设的公益性基础设施或社会事业项目，包括学校、医疗卫生机</w:t>
      </w:r>
      <w:r>
        <w:rPr>
          <w:rFonts w:hint="eastAsia" w:ascii="仿宋_GB2312" w:hAnsi="仿宋_GB2312" w:eastAsia="仿宋_GB2312" w:cs="仿宋_GB2312"/>
          <w:sz w:val="32"/>
          <w:szCs w:val="36"/>
          <w:highlight w:val="none"/>
        </w:rPr>
        <w:t>构、</w:t>
      </w:r>
      <w:r>
        <w:rPr>
          <w:rFonts w:hint="eastAsia" w:ascii="仿宋_GB2312" w:hAnsi="仿宋_GB2312" w:eastAsia="仿宋_GB2312" w:cs="仿宋_GB2312"/>
          <w:sz w:val="32"/>
          <w:szCs w:val="32"/>
          <w:highlight w:val="none"/>
          <w:lang w:bidi="zh-TW"/>
        </w:rPr>
        <w:t>道路、桥梁、村庄小公园等永久性建筑，可以企业或企业家个人建碑、入村志。对政府主导、财政支持的农村公益性工程和项目，引导企业和社会组织参与建设、管护和运营。鼓励利用社会资本开展现代农业、产业融合、生态修复、人居环境整治和农村基础设施等建设。规范、保证现代农业产业园以及“一村一品、一镇一业”项目中，企业自筹资金及时、完整使用到位。广泛动员本土企业、外地乡贤企业与乡村结对帮扶，支持乡村振兴建设。引导农民企业家富而思进、回报家乡，以投资捐资、担任美丽乡村建设顾问等形式助推美丽乡村建设。推广以奖代补等方式，鼓励农民对直接受益的</w:t>
      </w:r>
      <w:r>
        <w:rPr>
          <w:rFonts w:hint="eastAsia" w:ascii="仿宋_GB2312" w:hAnsi="仿宋_GB2312" w:eastAsia="仿宋_GB2312" w:cs="仿宋_GB2312"/>
          <w:sz w:val="32"/>
          <w:szCs w:val="36"/>
          <w:highlight w:val="none"/>
        </w:rPr>
        <w:t>乡村基础设施建设投工投劳，让农民更多参与建设管护。</w:t>
      </w:r>
    </w:p>
    <w:p>
      <w:pPr>
        <w:pStyle w:val="20"/>
        <w:spacing w:line="600" w:lineRule="exact"/>
        <w:ind w:firstLine="643" w:firstLineChars="200"/>
        <w:rPr>
          <w:rFonts w:hint="eastAsia" w:ascii="仿宋_GB2312" w:hAnsi="仿宋_GB2312" w:eastAsia="仿宋_GB2312" w:cs="仿宋_GB2312"/>
          <w:sz w:val="32"/>
          <w:szCs w:val="32"/>
          <w:highlight w:val="none"/>
          <w:lang w:bidi="zh-TW"/>
        </w:rPr>
      </w:pPr>
      <w:r>
        <w:rPr>
          <w:rFonts w:hint="eastAsia" w:ascii="仿宋_GB2312" w:hAnsi="仿宋_GB2312" w:eastAsia="仿宋_GB2312" w:cs="仿宋_GB2312"/>
          <w:b/>
          <w:bCs/>
          <w:sz w:val="32"/>
          <w:highlight w:val="none"/>
        </w:rPr>
        <w:t>强化金融支农。</w:t>
      </w:r>
      <w:r>
        <w:rPr>
          <w:rFonts w:hint="eastAsia" w:ascii="仿宋_GB2312" w:hAnsi="仿宋_GB2312" w:eastAsia="仿宋_GB2312" w:cs="仿宋_GB2312"/>
          <w:sz w:val="32"/>
          <w:szCs w:val="32"/>
          <w:highlight w:val="none"/>
          <w:lang w:bidi="zh-TW"/>
        </w:rPr>
        <w:t>建设茂名支农联盟，发挥中小企业融资平台作用。深入推进普惠金融建设，推动申报设立国家级广东茂名普惠金融服务乡村振兴改革试验区。积极推进农村信用体系、农业融资担保体系建设，鼓励金融机构创新农村金融产品和服务，不断满足农业农村的金融需求，引导更多金融资源回流，配置到农村重点领域和薄弱环节。创新推广“荔乡风貌贷”金融改革创新示范点，探索金融参与乡村治理、服务乡村振兴的新路径、新模式。积极探索新型农业经营主体以土地经营权、农民以集体资产股份抵押、担保贷款办法。探索农业融资租赁模式，以普惠金融为切入点，既覆盖普通农户相对“小额、短期、分散”的金融需求，又覆盖新型经营主体“大额、长期、集中”的资金需</w:t>
      </w:r>
      <w:r>
        <w:rPr>
          <w:rFonts w:hint="eastAsia" w:ascii="仿宋_GB2312" w:hAnsi="仿宋_GB2312" w:eastAsia="仿宋_GB2312" w:cs="仿宋_GB2312"/>
          <w:sz w:val="32"/>
          <w:szCs w:val="36"/>
          <w:highlight w:val="none"/>
        </w:rPr>
        <w:t>求</w:t>
      </w:r>
      <w:r>
        <w:rPr>
          <w:rFonts w:hint="eastAsia" w:ascii="仿宋_GB2312" w:hAnsi="仿宋_GB2312" w:eastAsia="仿宋_GB2312" w:cs="仿宋_GB2312"/>
          <w:sz w:val="32"/>
          <w:szCs w:val="32"/>
          <w:highlight w:val="none"/>
          <w:lang w:bidi="zh-TW"/>
        </w:rPr>
        <w:t>，丰富农村金融服务体系。</w:t>
      </w:r>
      <w:bookmarkEnd w:id="1857"/>
      <w:r>
        <w:rPr>
          <w:rFonts w:hint="eastAsia" w:ascii="仿宋_GB2312" w:hAnsi="仿宋_GB2312" w:eastAsia="仿宋_GB2312" w:cs="仿宋_GB2312"/>
          <w:sz w:val="32"/>
          <w:szCs w:val="32"/>
          <w:highlight w:val="none"/>
          <w:lang w:bidi="zh-TW"/>
        </w:rPr>
        <w:t>加强政银保担保合作，积极发挥政府性融资担保机构支农支小作用。出台金融支持乡</w:t>
      </w:r>
      <w:r>
        <w:rPr>
          <w:rFonts w:hint="eastAsia" w:ascii="仿宋_GB2312" w:hAnsi="仿宋_GB2312" w:eastAsia="仿宋_GB2312" w:cs="仿宋_GB2312"/>
          <w:sz w:val="32"/>
          <w:szCs w:val="32"/>
          <w:highlight w:val="none"/>
          <w:lang w:val="en-US" w:eastAsia="zh-CN" w:bidi="zh-TW"/>
        </w:rPr>
        <w:t>村</w:t>
      </w:r>
      <w:bookmarkStart w:id="2079" w:name="_GoBack"/>
      <w:bookmarkEnd w:id="2079"/>
      <w:r>
        <w:rPr>
          <w:rFonts w:hint="eastAsia" w:ascii="仿宋_GB2312" w:hAnsi="仿宋_GB2312" w:eastAsia="仿宋_GB2312" w:cs="仿宋_GB2312"/>
          <w:sz w:val="32"/>
          <w:szCs w:val="32"/>
          <w:highlight w:val="none"/>
          <w:lang w:bidi="zh-TW"/>
        </w:rPr>
        <w:t>振兴文件，加快推进辖区移动支付示范镇推广进程，打造多元化非现金支付方式，提升便民支付服务水平，满足公众对安全、便捷、高效的支付服务需求，持续优化辖区支付环境。建设“三农”综合保险体系，扩大政策性保险覆盖面，增加农业保险业务品种，引导和鼓励保险机构探索开展相互制保险试点、耕地地力补偿保险，以及区域产量、价格、收入、气象指数保险和大宗农产品“保险+期货”“订单农业+保险+期货（权）”试点。鼓励保险机构进一步提高茂名岭南特色水果、禽畜水产等农产品保障水平，逐步实现种养物化成本全覆盖。开展农业产业园一揽子综合保险、农户综合保险、扶贫综合保险、自然灾害公众责任保险、环境污染责任保险、农村治安保险、农机具保险、农产品质量保险、小额贷款保证保险等涉农保险试点。</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858" w:name="_Toc26356"/>
      <w:bookmarkStart w:id="1859" w:name="_Toc1727"/>
      <w:bookmarkStart w:id="1860" w:name="_Toc29573"/>
      <w:bookmarkStart w:id="1861" w:name="_Toc11364"/>
      <w:bookmarkStart w:id="1862" w:name="_Toc29772"/>
      <w:bookmarkStart w:id="1863" w:name="_Toc6826"/>
      <w:bookmarkStart w:id="1864" w:name="_Toc10078"/>
      <w:bookmarkStart w:id="1865" w:name="_Toc3221"/>
      <w:bookmarkStart w:id="1866" w:name="_Toc21541"/>
      <w:bookmarkStart w:id="1867" w:name="_Toc13876"/>
      <w:bookmarkStart w:id="1868" w:name="_Toc13335"/>
      <w:bookmarkStart w:id="1869" w:name="_Toc28808"/>
      <w:bookmarkStart w:id="1870" w:name="_Toc24538"/>
      <w:bookmarkStart w:id="1871" w:name="_Toc19887"/>
      <w:r>
        <w:rPr>
          <w:rFonts w:hint="eastAsia" w:ascii="黑体" w:hAnsi="黑体" w:eastAsia="黑体" w:cs="黑体"/>
          <w:b w:val="0"/>
          <w:bCs w:val="0"/>
          <w:highlight w:val="none"/>
        </w:rPr>
        <w:t>三、统筹优化城乡发展用地供给</w:t>
      </w:r>
      <w:bookmarkEnd w:id="1856"/>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23"/>
        <w:spacing w:line="600" w:lineRule="exact"/>
        <w:ind w:firstLine="643" w:firstLineChars="200"/>
        <w:rPr>
          <w:rFonts w:hint="eastAsia" w:ascii="仿宋_GB2312" w:hAnsi="仿宋_GB2312" w:eastAsia="仿宋_GB2312" w:cs="仿宋_GB2312"/>
          <w:sz w:val="32"/>
          <w:szCs w:val="36"/>
          <w:highlight w:val="none"/>
        </w:rPr>
      </w:pPr>
      <w:r>
        <w:rPr>
          <w:rFonts w:hint="eastAsia" w:ascii="仿宋_GB2312" w:hAnsi="仿宋_GB2312" w:eastAsia="仿宋_GB2312" w:cs="仿宋_GB2312"/>
          <w:b/>
          <w:bCs/>
          <w:sz w:val="32"/>
          <w:szCs w:val="36"/>
          <w:highlight w:val="none"/>
        </w:rPr>
        <w:t>加快推进农村承包土地经营权有序流转。</w:t>
      </w:r>
      <w:r>
        <w:rPr>
          <w:rFonts w:hint="eastAsia" w:ascii="仿宋_GB2312" w:hAnsi="仿宋_GB2312" w:eastAsia="仿宋_GB2312" w:cs="仿宋_GB2312"/>
          <w:sz w:val="32"/>
          <w:szCs w:val="36"/>
          <w:highlight w:val="none"/>
        </w:rPr>
        <w:t>完善农田基础设施建设，推进农村土地整合治理，尤其是加快丘陵山区农田宜机化改造。加快推动农村承包土地经营权有序流转，鼓励新型经营主体承接流转土地，支持农村集体经济组织依法依规开展土地统筹经营与托管服务，鼓励服务联盟、产业化联合体等各类服务主体开展多种形式适度规模经营。</w:t>
      </w:r>
    </w:p>
    <w:p>
      <w:pPr>
        <w:pStyle w:val="23"/>
        <w:spacing w:line="600" w:lineRule="exact"/>
        <w:ind w:firstLine="643" w:firstLineChars="200"/>
        <w:rPr>
          <w:rFonts w:hint="eastAsia" w:ascii="仿宋_GB2312" w:hAnsi="仿宋_GB2312" w:eastAsia="仿宋_GB2312" w:cs="仿宋_GB2312"/>
          <w:sz w:val="32"/>
          <w:highlight w:val="none"/>
        </w:rPr>
      </w:pPr>
      <w:r>
        <w:rPr>
          <w:rFonts w:hint="eastAsia" w:ascii="仿宋_GB2312" w:hAnsi="仿宋_GB2312" w:eastAsia="仿宋_GB2312" w:cs="仿宋_GB2312"/>
          <w:b/>
          <w:bCs/>
          <w:sz w:val="32"/>
          <w:szCs w:val="36"/>
          <w:highlight w:val="none"/>
        </w:rPr>
        <w:t>建立农业农村发展建设用地保障机制。</w:t>
      </w:r>
      <w:r>
        <w:rPr>
          <w:rFonts w:hint="eastAsia" w:ascii="仿宋_GB2312" w:hAnsi="仿宋_GB2312" w:eastAsia="仿宋_GB2312" w:cs="仿宋_GB2312"/>
          <w:kern w:val="0"/>
          <w:sz w:val="32"/>
          <w:szCs w:val="22"/>
          <w:highlight w:val="none"/>
        </w:rPr>
        <w:t>推动新增建设用地指标优先保障农业农村基础设施、农村人居环境整治、公共服务等用地需求，涉农县级市（区）安排不少于10%的用地指标保障乡村振兴（含农村一二三产业融合发展项目）新增建设用地需求</w:t>
      </w:r>
      <w:r>
        <w:rPr>
          <w:rFonts w:hint="eastAsia" w:ascii="仿宋_GB2312" w:hAnsi="仿宋_GB2312" w:eastAsia="仿宋_GB2312" w:cs="仿宋_GB2312"/>
          <w:sz w:val="32"/>
          <w:szCs w:val="32"/>
          <w:highlight w:val="none"/>
          <w:lang w:bidi="zh-TW"/>
        </w:rPr>
        <w:t>，优先保障农村产业融合发展项目和农产品冷链、初加工、烘干、仓储、机库等设施建设用地。积极开展乡村闲置校舍、旧厂房、闲置农房、废弃地等整治，盘活农村存量集体建设用地，用于农村新产业新业态以及农村一二三产业融合项目。鼓励各地通过“点状”规划和用地模式支持休闲农业和乡村旅游项目发展。乡镇土地利用总体规划可预留不超过5%的规划建设用地指标，用于零星分散的单独选址农业设施</w:t>
      </w:r>
      <w:r>
        <w:rPr>
          <w:rFonts w:hint="eastAsia" w:ascii="仿宋_GB2312" w:hAnsi="仿宋_GB2312" w:eastAsia="仿宋_GB2312" w:cs="仿宋_GB2312"/>
          <w:sz w:val="32"/>
          <w:szCs w:val="32"/>
          <w:highlight w:val="none"/>
        </w:rPr>
        <w:t>、乡村旅游设施等建设。</w:t>
      </w:r>
    </w:p>
    <w:p>
      <w:pPr>
        <w:pStyle w:val="13"/>
        <w:wordWrap w:val="0"/>
        <w:spacing w:line="600" w:lineRule="exact"/>
        <w:ind w:firstLine="643" w:firstLineChars="200"/>
        <w:jc w:val="both"/>
        <w:rPr>
          <w:rFonts w:hint="eastAsia" w:ascii="仿宋_GB2312" w:hAnsi="仿宋_GB2312" w:eastAsia="仿宋_GB2312" w:cs="仿宋_GB2312"/>
          <w:kern w:val="2"/>
          <w:sz w:val="32"/>
          <w:szCs w:val="32"/>
          <w:highlight w:val="none"/>
          <w:lang w:bidi="zh-TW"/>
        </w:rPr>
      </w:pPr>
      <w:r>
        <w:rPr>
          <w:rFonts w:hint="eastAsia" w:hAnsi="仿宋_GB2312" w:eastAsia="仿宋_GB2312" w:cs="仿宋_GB2312"/>
          <w:b/>
          <w:bCs/>
          <w:sz w:val="32"/>
          <w:highlight w:val="none"/>
        </w:rPr>
        <w:t>建立健全农业设施用地保障机制。</w:t>
      </w:r>
      <w:r>
        <w:rPr>
          <w:rFonts w:hint="eastAsia" w:hAnsi="仿宋_GB2312" w:eastAsia="仿宋_GB2312" w:cs="仿宋_GB2312"/>
          <w:sz w:val="32"/>
          <w:highlight w:val="none"/>
        </w:rPr>
        <w:t>根</w:t>
      </w:r>
      <w:r>
        <w:rPr>
          <w:rFonts w:hint="eastAsia" w:ascii="仿宋_GB2312" w:hAnsi="仿宋_GB2312" w:eastAsia="仿宋_GB2312" w:cs="仿宋_GB2312"/>
          <w:kern w:val="2"/>
          <w:sz w:val="32"/>
          <w:szCs w:val="32"/>
          <w:highlight w:val="none"/>
          <w:lang w:bidi="zh-TW"/>
        </w:rPr>
        <w:t>据国家及省相关文件精神，明确界定设施农业用地范围，合理确定设施农业用地规模。切实加强设施农业用地管理，鼓励利用荒山、荒沟、荒丘、荒滩等未利用地，以及农村集体建设用地开展设施农业建设，尽量不占或少占优质耕地。符合相关规定的，可结合项目实际实施“点状”供地。设施农业应当优先盘活利用存量设施农业用地，合理引导农业设施建设向空中和地下空间发展。鼓励支持农业大户、家庭农场、农民合作社、农业企业、农村集体经济组织等，联合、集中、共同兴建粮食仓储烘干、晾晒场、农机库棚等辅助设施，提高农业设施使用效率。</w:t>
      </w:r>
    </w:p>
    <w:bookmarkEnd w:id="1839"/>
    <w:bookmarkEnd w:id="1840"/>
    <w:p>
      <w:pPr>
        <w:pStyle w:val="5"/>
        <w:spacing w:before="0" w:beforeLines="0" w:after="0" w:afterLines="0" w:line="600" w:lineRule="exact"/>
        <w:jc w:val="center"/>
        <w:rPr>
          <w:rFonts w:ascii="Times New Roman" w:hAnsi="Times New Roman" w:eastAsia="黑体"/>
          <w:b w:val="0"/>
          <w:bCs w:val="0"/>
          <w:sz w:val="32"/>
          <w:highlight w:val="none"/>
        </w:rPr>
      </w:pPr>
      <w:bookmarkStart w:id="1872" w:name="_Toc25318"/>
      <w:bookmarkStart w:id="1873" w:name="_Toc31658"/>
      <w:bookmarkStart w:id="1874" w:name="_Toc10361"/>
      <w:bookmarkStart w:id="1875" w:name="_Toc3712"/>
      <w:bookmarkStart w:id="1876" w:name="_Toc1542"/>
      <w:bookmarkStart w:id="1877" w:name="_Toc10472"/>
      <w:bookmarkStart w:id="1878" w:name="_Toc22482"/>
      <w:bookmarkStart w:id="1879" w:name="_Toc14756"/>
      <w:bookmarkStart w:id="1880" w:name="_Toc46384898"/>
      <w:bookmarkStart w:id="1881" w:name="_Toc21627"/>
      <w:bookmarkStart w:id="1882" w:name="_Toc21888"/>
      <w:bookmarkStart w:id="1883" w:name="_Toc30763"/>
      <w:bookmarkStart w:id="1884" w:name="_Toc21370"/>
      <w:bookmarkStart w:id="1885" w:name="_Toc23438"/>
      <w:bookmarkStart w:id="1886" w:name="_Toc11787"/>
      <w:bookmarkStart w:id="1887" w:name="_Toc46329028"/>
      <w:bookmarkStart w:id="1888" w:name="_Toc30445"/>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 xml:space="preserve">第三节  </w:t>
      </w:r>
      <w:r>
        <w:rPr>
          <w:rFonts w:hint="default" w:ascii="Times New Roman" w:hAnsi="Times New Roman" w:eastAsia="黑体"/>
          <w:b w:val="0"/>
          <w:bCs w:val="0"/>
          <w:sz w:val="32"/>
          <w:highlight w:val="none"/>
        </w:rPr>
        <w:t>致力打造乡村振兴</w:t>
      </w:r>
      <w:r>
        <w:rPr>
          <w:rFonts w:hint="eastAsia" w:ascii="Times New Roman" w:hAnsi="Times New Roman" w:eastAsia="黑体"/>
          <w:b w:val="0"/>
          <w:bCs w:val="0"/>
          <w:sz w:val="32"/>
          <w:highlight w:val="none"/>
        </w:rPr>
        <w:t>“</w:t>
      </w:r>
      <w:r>
        <w:rPr>
          <w:rFonts w:ascii="Times New Roman" w:hAnsi="Times New Roman" w:eastAsia="黑体"/>
          <w:b w:val="0"/>
          <w:bCs w:val="0"/>
          <w:sz w:val="32"/>
          <w:highlight w:val="none"/>
        </w:rPr>
        <w:t>茂名样板</w:t>
      </w:r>
      <w:r>
        <w:rPr>
          <w:rFonts w:hint="eastAsia" w:ascii="Times New Roman" w:hAnsi="Times New Roman" w:eastAsia="黑体"/>
          <w:b w:val="0"/>
          <w:bCs w:val="0"/>
          <w:sz w:val="32"/>
          <w:highlight w:val="none"/>
        </w:rPr>
        <w:t>”</w:t>
      </w:r>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p>
    <w:p>
      <w:pPr>
        <w:spacing w:line="600" w:lineRule="exact"/>
        <w:ind w:firstLine="643"/>
        <w:rPr>
          <w:rFonts w:hint="eastAsia" w:hAnsi="仿宋_GB2312" w:eastAsia="仿宋_GB2312" w:cs="仿宋_GB2312"/>
          <w:sz w:val="32"/>
          <w:highlight w:val="none"/>
        </w:rPr>
      </w:pPr>
      <w:bookmarkStart w:id="1889" w:name="_Toc46384901"/>
      <w:bookmarkStart w:id="1890" w:name="_Toc46329031"/>
      <w:r>
        <w:rPr>
          <w:rFonts w:hint="eastAsia" w:hAnsi="仿宋_GB2312" w:eastAsia="仿宋_GB2312" w:cs="仿宋_GB2312"/>
          <w:bCs/>
          <w:sz w:val="32"/>
          <w:szCs w:val="32"/>
          <w:highlight w:val="none"/>
        </w:rPr>
        <w:t>坚持试点先行、重点突破，规划打造乡村振兴样板区，推进乡村振兴示范带“精彩100里”，创建农业现代化示范区，奋力打造高水平乡村振兴“茂名样板”。</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891" w:name="_Toc27494"/>
      <w:bookmarkStart w:id="1892" w:name="_Toc420"/>
      <w:bookmarkStart w:id="1893" w:name="_Toc19583"/>
      <w:bookmarkStart w:id="1894" w:name="_Toc6312"/>
      <w:bookmarkStart w:id="1895" w:name="_Toc26413"/>
      <w:bookmarkStart w:id="1896" w:name="_Toc15392"/>
      <w:bookmarkStart w:id="1897" w:name="_Toc14538"/>
      <w:bookmarkStart w:id="1898" w:name="_Toc7048"/>
      <w:bookmarkStart w:id="1899" w:name="_Toc6320"/>
      <w:bookmarkStart w:id="1900" w:name="_Toc7755"/>
      <w:bookmarkStart w:id="1901" w:name="_Toc24061"/>
      <w:bookmarkStart w:id="1902" w:name="_Toc20167"/>
      <w:bookmarkStart w:id="1903" w:name="_Toc7678"/>
      <w:bookmarkStart w:id="1904" w:name="_Toc12611"/>
      <w:r>
        <w:rPr>
          <w:rFonts w:hint="eastAsia" w:ascii="黑体" w:hAnsi="黑体" w:eastAsia="黑体" w:cs="黑体"/>
          <w:b w:val="0"/>
          <w:bCs w:val="0"/>
          <w:highlight w:val="none"/>
        </w:rPr>
        <w:t>一、打造乡村振兴示范带“精彩100里”</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pPr>
        <w:spacing w:line="600" w:lineRule="exact"/>
        <w:ind w:firstLine="600"/>
        <w:rPr>
          <w:rFonts w:hint="eastAsia"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zh-TW"/>
        </w:rPr>
        <w:t>以茂南区好心湖畔国家田园综合体项目所在地为起点，以高州市根子镇大唐荔乡国家田园综合体项目所在地为终点，统筹推进农村人居环境整治、中小河流整治、美丽乡村、</w:t>
      </w:r>
      <w:r>
        <w:rPr>
          <w:rFonts w:hint="eastAsia" w:hAnsi="仿宋_GB2312" w:eastAsia="仿宋_GB2312" w:cs="仿宋_GB2312"/>
          <w:sz w:val="32"/>
          <w:szCs w:val="32"/>
          <w:highlight w:val="none"/>
        </w:rPr>
        <w:t>名镇名村、乡村旅游景点、农业产业园等项目建设，连线连片开发农村旅游、红色旅游、休闲农业、森林康养等产业，发展农村美丽经济重大工程，打</w:t>
      </w:r>
      <w:r>
        <w:rPr>
          <w:rFonts w:hint="eastAsia" w:ascii="仿宋_GB2312" w:hAnsi="仿宋_GB2312" w:eastAsia="仿宋_GB2312" w:cs="仿宋_GB2312"/>
          <w:sz w:val="32"/>
          <w:szCs w:val="32"/>
          <w:highlight w:val="none"/>
          <w:lang w:bidi="zh-TW"/>
        </w:rPr>
        <w:t>造乡村振兴示范带“精</w:t>
      </w:r>
      <w:r>
        <w:rPr>
          <w:rFonts w:hint="eastAsia" w:hAnsi="仿宋_GB2312" w:eastAsia="仿宋_GB2312" w:cs="仿宋_GB2312"/>
          <w:sz w:val="32"/>
          <w:szCs w:val="32"/>
          <w:highlight w:val="none"/>
        </w:rPr>
        <w:t>彩100里</w:t>
      </w:r>
      <w:r>
        <w:rPr>
          <w:rFonts w:hint="eastAsia" w:ascii="仿宋_GB2312" w:hAnsi="仿宋_GB2312" w:eastAsia="仿宋_GB2312" w:cs="仿宋_GB2312"/>
          <w:sz w:val="32"/>
          <w:szCs w:val="32"/>
          <w:highlight w:val="none"/>
          <w:lang w:bidi="zh-TW"/>
        </w:rPr>
        <w:t>”，大力推动城乡融合发展，重点抓好七迳镇、官桥镇广东省城乡融合发展试点建设。挖掘茂名宜居宜业宜游气候优势，推动茂名打造气候宜居城市品牌，推动各区（县级市、经济功能区）创建中国天然氧吧品牌。加大政策扶持力度，高标准规划打造一批乡村振兴样板区，逐步实现样板区乡村产业提档升级、乡村环境全面提质、乡风文明全面提级、治理水平全面</w:t>
      </w:r>
      <w:r>
        <w:rPr>
          <w:rFonts w:hint="eastAsia" w:hAnsi="仿宋_GB2312" w:eastAsia="仿宋_GB2312" w:cs="仿宋_GB2312"/>
          <w:sz w:val="32"/>
          <w:szCs w:val="32"/>
          <w:highlight w:val="none"/>
        </w:rPr>
        <w:t>提升、农民收入全面提高的目标，发挥示范带动作用，以点带面推动茂名乡村全面振兴，并总结形成一批可复制的经验做法在全市范围内推广。</w:t>
      </w:r>
    </w:p>
    <w:p>
      <w:pPr>
        <w:pStyle w:val="6"/>
        <w:spacing w:before="0" w:beforeLines="0" w:after="0" w:afterLines="0" w:line="600" w:lineRule="exact"/>
        <w:ind w:firstLine="640" w:firstLineChars="200"/>
        <w:rPr>
          <w:rFonts w:hint="eastAsia" w:ascii="黑体" w:hAnsi="黑体" w:eastAsia="黑体" w:cs="黑体"/>
          <w:b w:val="0"/>
          <w:bCs w:val="0"/>
          <w:highlight w:val="none"/>
        </w:rPr>
      </w:pPr>
      <w:bookmarkStart w:id="1905" w:name="_Toc140"/>
      <w:bookmarkStart w:id="1906" w:name="_Toc14058"/>
      <w:bookmarkStart w:id="1907" w:name="_Toc29315"/>
      <w:bookmarkStart w:id="1908" w:name="_Toc3345"/>
      <w:bookmarkStart w:id="1909" w:name="_Toc26714"/>
      <w:bookmarkStart w:id="1910" w:name="_Toc20103"/>
      <w:bookmarkStart w:id="1911" w:name="_Toc9115"/>
      <w:bookmarkStart w:id="1912" w:name="_Toc17532"/>
      <w:bookmarkStart w:id="1913" w:name="_Toc3627"/>
      <w:bookmarkStart w:id="1914" w:name="_Toc7016"/>
      <w:bookmarkStart w:id="1915" w:name="_Toc17727"/>
      <w:bookmarkStart w:id="1916" w:name="_Toc3732"/>
      <w:bookmarkStart w:id="1917" w:name="_Toc18406"/>
      <w:bookmarkStart w:id="1918" w:name="_Toc32644"/>
      <w:r>
        <w:rPr>
          <w:rFonts w:hint="eastAsia" w:ascii="黑体" w:hAnsi="黑体" w:eastAsia="黑体" w:cs="黑体"/>
          <w:b w:val="0"/>
          <w:bCs w:val="0"/>
          <w:highlight w:val="none"/>
        </w:rPr>
        <w:t>二、创建农业现代化示范区</w:t>
      </w:r>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spacing w:line="600" w:lineRule="exact"/>
        <w:ind w:firstLine="600"/>
        <w:rPr>
          <w:rFonts w:hint="eastAsia" w:hAnsi="仿宋_GB2312" w:eastAsia="仿宋_GB2312" w:cs="仿宋_GB2312"/>
          <w:kern w:val="0"/>
          <w:sz w:val="32"/>
          <w:szCs w:val="22"/>
          <w:highlight w:val="none"/>
        </w:rPr>
      </w:pPr>
      <w:r>
        <w:rPr>
          <w:rFonts w:hint="eastAsia" w:hAnsi="仿宋_GB2312" w:eastAsia="仿宋_GB2312" w:cs="仿宋_GB2312"/>
          <w:kern w:val="0"/>
          <w:sz w:val="32"/>
          <w:szCs w:val="22"/>
          <w:highlight w:val="none"/>
        </w:rPr>
        <w:t>发</w:t>
      </w:r>
      <w:r>
        <w:rPr>
          <w:rFonts w:hint="eastAsia" w:ascii="仿宋_GB2312" w:hAnsi="仿宋_GB2312" w:eastAsia="仿宋_GB2312" w:cs="仿宋_GB2312"/>
          <w:sz w:val="32"/>
          <w:szCs w:val="32"/>
          <w:highlight w:val="none"/>
          <w:lang w:bidi="zh-TW"/>
        </w:rPr>
        <w:t>挥茂名市作为荔枝、畜禽、南药等特色农产品优势区的地位，以县域为单元创建农业现代化示范区，加强资源整合、政策集成、要素聚集，探索农业现代化发展模式、政策体系、工作机制，示范引领农业设施化、园区化、融合化、绿色化、数字化发展，推进现代农业产业体系、生产体系和经营体系建设。对标农业现代化建设目标要求，推动创新强农、质量兴农，延长产业链，提升价值链，畅通供应链，</w:t>
      </w:r>
      <w:r>
        <w:rPr>
          <w:rFonts w:hint="eastAsia" w:hAnsi="仿宋_GB2312" w:eastAsia="仿宋_GB2312" w:cs="仿宋_GB2312"/>
          <w:kern w:val="0"/>
          <w:sz w:val="32"/>
          <w:szCs w:val="22"/>
          <w:highlight w:val="none"/>
        </w:rPr>
        <w:t>建成全省农业现代化先行区。到2025年，力争分批建成1-2个国家农业现代化示范区。</w:t>
      </w:r>
    </w:p>
    <w:p>
      <w:pPr>
        <w:spacing w:line="600" w:lineRule="exact"/>
        <w:ind w:firstLine="600"/>
        <w:rPr>
          <w:rFonts w:eastAsia="方正小标宋简体"/>
          <w:b w:val="0"/>
          <w:bCs w:val="0"/>
          <w:kern w:val="2"/>
          <w:sz w:val="36"/>
          <w:szCs w:val="36"/>
          <w:highlight w:val="none"/>
        </w:rPr>
      </w:pPr>
      <w:r>
        <w:rPr>
          <w:rFonts w:hint="eastAsia" w:hAnsi="仿宋_GB2312" w:eastAsia="仿宋_GB2312" w:cs="仿宋_GB2312"/>
          <w:kern w:val="0"/>
          <w:sz w:val="32"/>
          <w:szCs w:val="22"/>
          <w:highlight w:val="none"/>
        </w:rPr>
        <w:br w:type="page"/>
      </w:r>
      <w:bookmarkStart w:id="1919" w:name="_Toc19034"/>
      <w:bookmarkStart w:id="1920" w:name="_Toc9773"/>
      <w:bookmarkStart w:id="1921" w:name="_Toc18348"/>
      <w:bookmarkStart w:id="1922" w:name="_Toc13632"/>
      <w:bookmarkStart w:id="1923" w:name="_Toc15123"/>
      <w:bookmarkStart w:id="1924" w:name="_Toc22210"/>
      <w:bookmarkStart w:id="1925" w:name="_Toc16708"/>
      <w:bookmarkStart w:id="1926" w:name="_Toc28266"/>
      <w:bookmarkStart w:id="1927" w:name="_Toc21837"/>
      <w:bookmarkStart w:id="1928" w:name="_Toc26225"/>
      <w:bookmarkStart w:id="1929" w:name="_Toc18600"/>
      <w:bookmarkStart w:id="1930" w:name="_Toc20090"/>
      <w:bookmarkStart w:id="1931" w:name="_Toc11840"/>
      <w:bookmarkStart w:id="1932" w:name="_Toc24504"/>
      <w:bookmarkStart w:id="1933" w:name="_Toc6871"/>
      <w:r>
        <w:rPr>
          <w:rFonts w:eastAsia="方正小标宋简体"/>
          <w:b w:val="0"/>
          <w:bCs w:val="0"/>
          <w:kern w:val="2"/>
          <w:sz w:val="36"/>
          <w:szCs w:val="36"/>
          <w:highlight w:val="none"/>
        </w:rPr>
        <w:t>第九章  强化保障措施 健全规划有序实施机制</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bookmarkEnd w:id="1889"/>
    <w:bookmarkEnd w:id="1890"/>
    <w:bookmarkEnd w:id="1933"/>
    <w:p>
      <w:pPr>
        <w:spacing w:line="600" w:lineRule="exact"/>
        <w:ind w:firstLine="600"/>
        <w:rPr>
          <w:rFonts w:hint="eastAsia" w:ascii="仿宋_GB2312" w:hAnsi="仿宋_GB2312" w:eastAsia="仿宋_GB2312" w:cs="仿宋_GB2312"/>
          <w:sz w:val="32"/>
          <w:szCs w:val="32"/>
          <w:highlight w:val="none"/>
          <w:lang w:bidi="zh-TW"/>
        </w:rPr>
      </w:pPr>
      <w:bookmarkStart w:id="1934" w:name="_Toc46329032"/>
      <w:bookmarkStart w:id="1935" w:name="_Toc46384902"/>
      <w:r>
        <w:rPr>
          <w:rFonts w:hint="eastAsia" w:hAnsi="仿宋_GB2312" w:eastAsia="仿宋_GB2312" w:cs="仿宋_GB2312"/>
          <w:sz w:val="32"/>
          <w:szCs w:val="32"/>
          <w:highlight w:val="none"/>
        </w:rPr>
        <w:t>本规</w:t>
      </w:r>
      <w:r>
        <w:rPr>
          <w:rFonts w:hint="eastAsia" w:ascii="仿宋_GB2312" w:hAnsi="仿宋_GB2312" w:eastAsia="仿宋_GB2312" w:cs="仿宋_GB2312"/>
          <w:sz w:val="32"/>
          <w:szCs w:val="32"/>
          <w:highlight w:val="none"/>
          <w:lang w:bidi="zh-TW"/>
        </w:rPr>
        <w:t>划是全市“十四五”时期农业农村工作的纲领性文件，实行市级统筹推进、县级实施、镇村落实的工作机制，加强党的领导，坚持规划引领，加大政策扶持，强化法治保障和人才队伍建设，注重典型带动，开展考核评估，举全市之力推进农业农村现代化工作。</w:t>
      </w:r>
    </w:p>
    <w:p>
      <w:pPr>
        <w:pStyle w:val="5"/>
        <w:spacing w:before="0" w:beforeLines="0" w:after="0" w:afterLines="0" w:line="600" w:lineRule="exact"/>
        <w:jc w:val="center"/>
        <w:rPr>
          <w:rFonts w:ascii="Times New Roman" w:hAnsi="Times New Roman" w:eastAsia="黑体"/>
          <w:b w:val="0"/>
          <w:bCs w:val="0"/>
          <w:sz w:val="32"/>
          <w:highlight w:val="none"/>
        </w:rPr>
      </w:pPr>
      <w:bookmarkStart w:id="1936" w:name="_Toc412"/>
      <w:bookmarkStart w:id="1937" w:name="_Toc5625"/>
      <w:bookmarkStart w:id="1938" w:name="_Toc18178"/>
      <w:bookmarkStart w:id="1939" w:name="_Toc4526"/>
      <w:bookmarkStart w:id="1940" w:name="_Toc24664"/>
      <w:bookmarkStart w:id="1941" w:name="_Toc5164"/>
      <w:bookmarkStart w:id="1942" w:name="_Toc6596"/>
      <w:bookmarkStart w:id="1943" w:name="_Toc6920"/>
      <w:bookmarkStart w:id="1944" w:name="_Toc16030"/>
      <w:bookmarkStart w:id="1945" w:name="_Toc9163"/>
      <w:bookmarkStart w:id="1946" w:name="_Toc16843"/>
      <w:bookmarkStart w:id="1947" w:name="_Toc2670"/>
      <w:bookmarkStart w:id="1948" w:name="_Toc10754"/>
      <w:bookmarkStart w:id="1949" w:name="_Toc25451"/>
      <w:bookmarkStart w:id="1950" w:name="_Toc19811"/>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第一节  加强组织领导</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pPr>
        <w:spacing w:line="600" w:lineRule="exact"/>
        <w:ind w:firstLine="600"/>
        <w:rPr>
          <w:rFonts w:eastAsia="仿宋"/>
          <w:sz w:val="32"/>
          <w:szCs w:val="32"/>
          <w:highlight w:val="none"/>
        </w:rPr>
      </w:pPr>
      <w:r>
        <w:rPr>
          <w:rFonts w:hint="eastAsia" w:ascii="Times New Roman" w:hAnsi="仿宋_GB2312" w:eastAsia="仿宋_GB2312" w:cs="仿宋_GB2312"/>
          <w:sz w:val="32"/>
          <w:szCs w:val="32"/>
          <w:highlight w:val="none"/>
          <w:lang w:bidi="zh-TW"/>
        </w:rPr>
        <w:t>加强党对农村工作的全面领导，市县镇村四级书记抓巩固拓展脱贫攻坚成果和乡村振兴。强化各级党委农村工作(实施乡村振兴战略)领导小组统筹协调职责，建立统一高效的工作机制。以市委实施乡村振兴战略领导小组统筹领导和组织协调农业农村现代化建设重大事项。建立健全职责清晰的责任体系，建立和落实党政一把手第一负责人制度，区（县级市、经济功能区）党委（党工委）书记要当好“一线总指挥”。建立乡村振兴联系点制度，市、县级党委和政府负责同志确定联系点，开展县镇村三级党组织书记乡村振兴轮训。镇党委和村党组织应当全面贯彻落实上级部署，全面领导镇、村的各类组织和各项工作，全面发动群众、组织群众，推动各项政策措施落实落地。切实加强各级党委农村工作部门建设，根据省的部署优化党委农村工作部门机构设置，做好人员配置工作，强化决策参谋、统筹协调、政策指导、推动落实、督查检查等职能。各部门按照职能职责，制定政策措施，形成合力，共同推动工作落实。根据省农业农村厅与茂名市人民政</w:t>
      </w:r>
      <w:r>
        <w:rPr>
          <w:rFonts w:hint="eastAsia" w:hAnsi="仿宋_GB2312" w:eastAsia="仿宋_GB2312" w:cs="仿宋_GB2312"/>
          <w:sz w:val="32"/>
          <w:szCs w:val="32"/>
          <w:highlight w:val="none"/>
        </w:rPr>
        <w:t>府共同推进广东乡村振兴战略实施合作框架协议和年度工作要点，细化落实有关工作部署，衔接规划目标与重点任务，在推进乡村建设、深化农村改革、创建国家农业现代化示范区等方面，做好共建对接。</w:t>
      </w:r>
    </w:p>
    <w:p>
      <w:pPr>
        <w:pStyle w:val="5"/>
        <w:spacing w:before="0" w:beforeLines="0" w:after="0" w:afterLines="0" w:line="600" w:lineRule="exact"/>
        <w:jc w:val="center"/>
        <w:rPr>
          <w:rFonts w:ascii="Times New Roman" w:hAnsi="Times New Roman" w:eastAsia="黑体"/>
          <w:b w:val="0"/>
          <w:bCs w:val="0"/>
          <w:sz w:val="32"/>
          <w:highlight w:val="none"/>
        </w:rPr>
      </w:pPr>
      <w:bookmarkStart w:id="1951" w:name="_Toc28227"/>
      <w:bookmarkStart w:id="1952" w:name="_Toc22487"/>
      <w:bookmarkStart w:id="1953" w:name="_Toc13682"/>
      <w:bookmarkStart w:id="1954" w:name="_Toc6065"/>
      <w:bookmarkStart w:id="1955" w:name="_Toc1942"/>
      <w:bookmarkStart w:id="1956" w:name="_Toc29383"/>
      <w:bookmarkStart w:id="1957" w:name="_Toc94"/>
      <w:bookmarkStart w:id="1958" w:name="_Toc18593"/>
      <w:bookmarkStart w:id="1959" w:name="_Toc22941"/>
      <w:bookmarkStart w:id="1960" w:name="_Toc7161"/>
      <w:bookmarkStart w:id="1961" w:name="_Toc4350"/>
      <w:bookmarkStart w:id="1962" w:name="_Toc2640"/>
      <w:bookmarkStart w:id="1963" w:name="_Toc1397"/>
      <w:bookmarkStart w:id="1964" w:name="_Toc22338"/>
      <w:bookmarkStart w:id="1965" w:name="_Toc10359"/>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 xml:space="preserve">第二节 </w:t>
      </w:r>
      <w:r>
        <w:rPr>
          <w:rFonts w:hint="eastAsia" w:ascii="Times New Roman" w:hAnsi="Times New Roman" w:eastAsia="黑体"/>
          <w:b w:val="0"/>
          <w:bCs w:val="0"/>
          <w:sz w:val="32"/>
          <w:highlight w:val="none"/>
        </w:rPr>
        <w:t xml:space="preserve"> </w:t>
      </w:r>
      <w:r>
        <w:rPr>
          <w:rFonts w:ascii="Times New Roman" w:hAnsi="Times New Roman" w:eastAsia="黑体"/>
          <w:b w:val="0"/>
          <w:bCs w:val="0"/>
          <w:sz w:val="32"/>
          <w:highlight w:val="none"/>
        </w:rPr>
        <w:t>坚持规划引领</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spacing w:line="600" w:lineRule="exact"/>
        <w:ind w:firstLine="600"/>
        <w:rPr>
          <w:rFonts w:hint="eastAsia" w:ascii="Times New Roman" w:hAnsi="仿宋_GB2312" w:eastAsia="仿宋_GB2312" w:cs="仿宋_GB2312"/>
          <w:sz w:val="32"/>
          <w:szCs w:val="32"/>
          <w:highlight w:val="none"/>
          <w:lang w:bidi="zh-TW"/>
        </w:rPr>
      </w:pPr>
      <w:r>
        <w:rPr>
          <w:rFonts w:hint="eastAsia" w:ascii="Times New Roman" w:hAnsi="仿宋_GB2312" w:eastAsia="仿宋_GB2312" w:cs="仿宋_GB2312"/>
          <w:sz w:val="32"/>
          <w:szCs w:val="32"/>
          <w:highlight w:val="none"/>
          <w:lang w:bidi="zh-TW"/>
        </w:rPr>
        <w:t>科学规划为先导，一张蓝图绘到底，久久为功搞建设。积极推进《茂名市农业农村现代化“十四五”规划》与《广东省推进农业农村现代化“十四五”规划》、乡村振兴战略规划、经济社会发展总体规划、空间规划、产业发展规划、环境保护规划等有机衔接。完善“分级落实”的全域规划编制管理体制，坚持“多规合一”，加强各类规划的统筹管理和系统衔接，建立健全全域一体的城乡规划管理体制。相关市级部门要立足职能职责，强化政策配套，结合实际制定专项规划或方案，协同推进规划实施。各区（县级市、经济功能区）要主动推进县域农业农村现代化进程。</w:t>
      </w:r>
    </w:p>
    <w:p>
      <w:pPr>
        <w:pStyle w:val="5"/>
        <w:spacing w:before="0" w:beforeLines="0" w:after="0" w:afterLines="0" w:line="600" w:lineRule="exact"/>
        <w:jc w:val="center"/>
        <w:rPr>
          <w:rFonts w:ascii="Times New Roman" w:hAnsi="Times New Roman" w:eastAsia="黑体"/>
          <w:b w:val="0"/>
          <w:bCs w:val="0"/>
          <w:sz w:val="32"/>
          <w:highlight w:val="none"/>
        </w:rPr>
      </w:pPr>
      <w:bookmarkStart w:id="1966" w:name="_Toc26709"/>
      <w:bookmarkStart w:id="1967" w:name="_Toc31681"/>
      <w:bookmarkStart w:id="1968" w:name="_Toc6367"/>
      <w:bookmarkStart w:id="1969" w:name="_Toc25491"/>
      <w:bookmarkStart w:id="1970" w:name="_Toc14964"/>
      <w:bookmarkStart w:id="1971" w:name="_Toc27496"/>
      <w:bookmarkStart w:id="1972" w:name="_Toc8810"/>
      <w:bookmarkStart w:id="1973" w:name="_Toc4602"/>
    </w:p>
    <w:p>
      <w:pPr>
        <w:pStyle w:val="5"/>
        <w:spacing w:before="0" w:beforeLines="0" w:after="0" w:afterLines="0" w:line="600" w:lineRule="exact"/>
        <w:jc w:val="center"/>
        <w:rPr>
          <w:rFonts w:hint="eastAsia" w:ascii="Times New Roman" w:hAnsi="Times New Roman" w:eastAsia="黑体"/>
          <w:b w:val="0"/>
          <w:bCs w:val="0"/>
          <w:sz w:val="32"/>
          <w:highlight w:val="none"/>
        </w:rPr>
      </w:pPr>
      <w:r>
        <w:rPr>
          <w:rFonts w:ascii="Times New Roman" w:hAnsi="Times New Roman" w:eastAsia="黑体"/>
          <w:b w:val="0"/>
          <w:bCs w:val="0"/>
          <w:sz w:val="32"/>
          <w:highlight w:val="none"/>
        </w:rPr>
        <w:t>第</w:t>
      </w:r>
      <w:r>
        <w:rPr>
          <w:rFonts w:hint="eastAsia" w:ascii="Times New Roman" w:hAnsi="Times New Roman" w:eastAsia="黑体"/>
          <w:b w:val="0"/>
          <w:bCs w:val="0"/>
          <w:sz w:val="32"/>
          <w:highlight w:val="none"/>
        </w:rPr>
        <w:t>三</w:t>
      </w:r>
      <w:r>
        <w:rPr>
          <w:rFonts w:ascii="Times New Roman" w:hAnsi="Times New Roman" w:eastAsia="黑体"/>
          <w:b w:val="0"/>
          <w:bCs w:val="0"/>
          <w:sz w:val="32"/>
          <w:highlight w:val="none"/>
        </w:rPr>
        <w:t xml:space="preserve">节 </w:t>
      </w:r>
      <w:r>
        <w:rPr>
          <w:rFonts w:hint="eastAsia" w:ascii="Times New Roman" w:hAnsi="Times New Roman" w:eastAsia="黑体"/>
          <w:b w:val="0"/>
          <w:bCs w:val="0"/>
          <w:sz w:val="32"/>
          <w:highlight w:val="none"/>
        </w:rPr>
        <w:t xml:space="preserve"> 加大政策</w:t>
      </w:r>
      <w:bookmarkEnd w:id="1966"/>
      <w:bookmarkEnd w:id="1967"/>
      <w:r>
        <w:rPr>
          <w:rFonts w:hint="eastAsia" w:ascii="Times New Roman" w:hAnsi="Times New Roman" w:eastAsia="黑体"/>
          <w:b w:val="0"/>
          <w:bCs w:val="0"/>
          <w:sz w:val="32"/>
          <w:highlight w:val="none"/>
        </w:rPr>
        <w:t>扶持</w:t>
      </w:r>
      <w:bookmarkEnd w:id="1968"/>
      <w:bookmarkEnd w:id="1969"/>
      <w:bookmarkEnd w:id="1970"/>
      <w:bookmarkEnd w:id="1971"/>
      <w:bookmarkEnd w:id="1972"/>
      <w:bookmarkEnd w:id="1973"/>
    </w:p>
    <w:p>
      <w:pPr>
        <w:spacing w:line="600" w:lineRule="exact"/>
        <w:ind w:firstLine="600"/>
        <w:rPr>
          <w:rFonts w:hint="eastAsia" w:ascii="Times New Roman" w:hAnsi="仿宋_GB2312" w:eastAsia="仿宋_GB2312" w:cs="仿宋_GB2312"/>
          <w:sz w:val="32"/>
          <w:szCs w:val="32"/>
          <w:highlight w:val="none"/>
          <w:lang w:bidi="zh-TW"/>
        </w:rPr>
      </w:pPr>
      <w:r>
        <w:rPr>
          <w:rFonts w:hint="eastAsia" w:ascii="Times New Roman" w:hAnsi="仿宋_GB2312" w:eastAsia="仿宋_GB2312" w:cs="仿宋_GB2312"/>
          <w:sz w:val="32"/>
          <w:szCs w:val="32"/>
          <w:highlight w:val="none"/>
          <w:lang w:bidi="zh-TW"/>
        </w:rPr>
        <w:t>立足本地区财力状况及乡村振兴需求，建立稳定增长的投入保障机制。深入贯彻落实涉农资金统筹整合改革精神，统筹用好各级涉农资金。发挥财政投入的引导作用，带动更多社会资金投入农业农村。稳步提高土地出让收入用于农业农村比例。积极做好“三农”领域债券项目储备工作，争取更多地方债券资金支持乡村振兴发展。办好广东扶贫济困日活动，广泛发动社会力量支持乡村振兴。落实小额贷款税收优惠政策。强化用地保障，新编县、镇级国土空间规划应安排不</w:t>
      </w:r>
      <w:r>
        <w:rPr>
          <w:rFonts w:hint="eastAsia" w:hAnsi="仿宋_GB2312" w:eastAsia="仿宋_GB2312" w:cs="仿宋_GB2312"/>
          <w:sz w:val="32"/>
          <w:szCs w:val="32"/>
          <w:highlight w:val="none"/>
          <w:lang w:bidi="zh-TW"/>
        </w:rPr>
        <w:t>少于10%的建设</w:t>
      </w:r>
      <w:r>
        <w:rPr>
          <w:rFonts w:hint="eastAsia" w:ascii="Times New Roman" w:hAnsi="仿宋_GB2312" w:eastAsia="仿宋_GB2312" w:cs="仿宋_GB2312"/>
          <w:sz w:val="32"/>
          <w:szCs w:val="32"/>
          <w:highlight w:val="none"/>
          <w:lang w:bidi="zh-TW"/>
        </w:rPr>
        <w:t>用地规模，优先保障巩固拓展脱贫攻坚成果和乡村振兴用地需要。实施“人才下乡、干部返乡、能人回乡”计划和高校毕业生志愿服务乡村振兴行动，办好市乡村振兴学院，加快推进县乡村振兴学校、镇级教学点的建设，为乡村振兴提供坚实人才支撑。强化农业全产业链科技资源配置，巩固推广“院地合作”模式。</w:t>
      </w:r>
    </w:p>
    <w:p>
      <w:pPr>
        <w:pStyle w:val="5"/>
        <w:spacing w:before="0" w:beforeLines="0" w:after="0" w:afterLines="0" w:line="600" w:lineRule="exact"/>
        <w:jc w:val="center"/>
        <w:rPr>
          <w:rFonts w:ascii="Times New Roman" w:hAnsi="Times New Roman" w:eastAsia="黑体"/>
          <w:b w:val="0"/>
          <w:bCs w:val="0"/>
          <w:sz w:val="32"/>
          <w:highlight w:val="none"/>
        </w:rPr>
      </w:pPr>
      <w:bookmarkStart w:id="1974" w:name="_Toc5856"/>
      <w:bookmarkStart w:id="1975" w:name="_Toc21535"/>
      <w:bookmarkStart w:id="1976" w:name="_Toc20890"/>
      <w:bookmarkStart w:id="1977" w:name="_Toc1520"/>
      <w:bookmarkStart w:id="1978" w:name="_Toc4832"/>
      <w:bookmarkStart w:id="1979" w:name="_Toc23156"/>
      <w:bookmarkStart w:id="1980" w:name="_Toc46384913"/>
      <w:bookmarkStart w:id="1981" w:name="_Toc32431"/>
      <w:bookmarkStart w:id="1982" w:name="_Toc20394"/>
      <w:bookmarkStart w:id="1983" w:name="_Toc12741"/>
      <w:bookmarkStart w:id="1984" w:name="_Toc5198"/>
      <w:bookmarkStart w:id="1985" w:name="_Toc9746"/>
      <w:bookmarkStart w:id="1986" w:name="_Toc14877"/>
      <w:bookmarkStart w:id="1987" w:name="_Toc46329043"/>
      <w:bookmarkStart w:id="1988" w:name="_Toc10438"/>
      <w:bookmarkStart w:id="1989" w:name="_Toc2012"/>
      <w:bookmarkStart w:id="1990" w:name="_Toc29365"/>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w:t>
      </w:r>
      <w:r>
        <w:rPr>
          <w:rFonts w:hint="eastAsia" w:ascii="Times New Roman" w:hAnsi="Times New Roman" w:eastAsia="黑体"/>
          <w:b w:val="0"/>
          <w:bCs w:val="0"/>
          <w:sz w:val="32"/>
          <w:highlight w:val="none"/>
        </w:rPr>
        <w:t>四</w:t>
      </w:r>
      <w:r>
        <w:rPr>
          <w:rFonts w:ascii="Times New Roman" w:hAnsi="Times New Roman" w:eastAsia="黑体"/>
          <w:b w:val="0"/>
          <w:bCs w:val="0"/>
          <w:sz w:val="32"/>
          <w:highlight w:val="none"/>
        </w:rPr>
        <w:t>节  加强法</w:t>
      </w:r>
      <w:r>
        <w:rPr>
          <w:rFonts w:hint="eastAsia" w:ascii="Times New Roman" w:hAnsi="Times New Roman" w:eastAsia="黑体"/>
          <w:b w:val="0"/>
          <w:bCs w:val="0"/>
          <w:sz w:val="32"/>
          <w:highlight w:val="none"/>
        </w:rPr>
        <w:t>治</w:t>
      </w:r>
      <w:r>
        <w:rPr>
          <w:rFonts w:ascii="Times New Roman" w:hAnsi="Times New Roman" w:eastAsia="黑体"/>
          <w:b w:val="0"/>
          <w:bCs w:val="0"/>
          <w:sz w:val="32"/>
          <w:highlight w:val="none"/>
        </w:rPr>
        <w:t>保障</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spacing w:line="600" w:lineRule="exact"/>
        <w:ind w:firstLine="600"/>
        <w:rPr>
          <w:rFonts w:hint="eastAsia" w:hAnsi="仿宋_GB2312" w:eastAsia="仿宋_GB2312" w:cs="仿宋_GB2312"/>
          <w:sz w:val="32"/>
          <w:szCs w:val="32"/>
          <w:highlight w:val="none"/>
        </w:rPr>
      </w:pPr>
      <w:r>
        <w:rPr>
          <w:rFonts w:hint="eastAsia" w:ascii="Times New Roman" w:hAnsi="仿宋_GB2312" w:eastAsia="仿宋_GB2312" w:cs="仿宋_GB2312"/>
          <w:sz w:val="32"/>
          <w:szCs w:val="32"/>
          <w:highlight w:val="none"/>
          <w:lang w:bidi="zh-TW"/>
        </w:rPr>
        <w:t>发挥立法在农业农村现代化过程中的保障和推动作用，从乡村发展实际需要出发，制定促进农业农村现代化的地方性法规、规章，把行之有效的政策法定化。开展地方性法规和规范性文件清理工作，对不适应农业农村现代化要求的地方性法规、规章和规范性文件予以废止或修改。各级党委政府在规划编制、项目安排、资金使用、监督管理等方面要提</w:t>
      </w:r>
      <w:r>
        <w:rPr>
          <w:rFonts w:hint="eastAsia" w:hAnsi="仿宋_GB2312" w:eastAsia="仿宋_GB2312" w:cs="仿宋_GB2312"/>
          <w:sz w:val="32"/>
          <w:szCs w:val="32"/>
          <w:highlight w:val="none"/>
        </w:rPr>
        <w:t>高规范化、制度化、法治化水平，善于用法治思维和法治方式推进农业农村现代化。</w:t>
      </w:r>
    </w:p>
    <w:p>
      <w:pPr>
        <w:pStyle w:val="5"/>
        <w:spacing w:before="0" w:beforeLines="0" w:after="0" w:afterLines="0" w:line="600" w:lineRule="exact"/>
        <w:jc w:val="center"/>
        <w:rPr>
          <w:rFonts w:ascii="Times New Roman" w:hAnsi="Times New Roman" w:eastAsia="黑体"/>
          <w:b w:val="0"/>
          <w:bCs w:val="0"/>
          <w:sz w:val="32"/>
          <w:highlight w:val="none"/>
        </w:rPr>
      </w:pPr>
      <w:bookmarkStart w:id="1991" w:name="_Toc6147"/>
      <w:bookmarkStart w:id="1992" w:name="_Toc6849"/>
      <w:bookmarkStart w:id="1993" w:name="_Toc12097"/>
      <w:bookmarkStart w:id="1994" w:name="_Toc22090"/>
      <w:bookmarkStart w:id="1995" w:name="_Toc23940"/>
      <w:bookmarkStart w:id="1996" w:name="_Toc9672"/>
      <w:bookmarkStart w:id="1997" w:name="_Toc26127"/>
      <w:bookmarkStart w:id="1998" w:name="_Toc28791"/>
      <w:bookmarkStart w:id="1999" w:name="_Toc10909"/>
      <w:bookmarkStart w:id="2000" w:name="_Toc8040"/>
      <w:bookmarkStart w:id="2001" w:name="_Toc25441"/>
      <w:bookmarkStart w:id="2002" w:name="_Toc19795"/>
      <w:bookmarkStart w:id="2003" w:name="_Toc22492"/>
      <w:bookmarkStart w:id="2004" w:name="_Toc28688"/>
      <w:bookmarkStart w:id="2005" w:name="_Toc19060"/>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w:t>
      </w:r>
      <w:r>
        <w:rPr>
          <w:rFonts w:hint="eastAsia" w:ascii="Times New Roman" w:hAnsi="Times New Roman" w:eastAsia="黑体"/>
          <w:b w:val="0"/>
          <w:bCs w:val="0"/>
          <w:sz w:val="32"/>
          <w:highlight w:val="none"/>
        </w:rPr>
        <w:t>五</w:t>
      </w:r>
      <w:r>
        <w:rPr>
          <w:rFonts w:ascii="Times New Roman" w:hAnsi="Times New Roman" w:eastAsia="黑体"/>
          <w:b w:val="0"/>
          <w:bCs w:val="0"/>
          <w:sz w:val="32"/>
          <w:highlight w:val="none"/>
        </w:rPr>
        <w:t>节  加强人才队伍建设</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spacing w:line="600" w:lineRule="exact"/>
        <w:ind w:firstLine="600"/>
        <w:rPr>
          <w:rFonts w:hint="eastAsia" w:ascii="Times New Roman" w:hAnsi="仿宋_GB2312" w:eastAsia="仿宋_GB2312" w:cs="仿宋_GB2312"/>
          <w:sz w:val="32"/>
          <w:szCs w:val="32"/>
          <w:highlight w:val="none"/>
          <w:lang w:bidi="zh-TW"/>
        </w:rPr>
      </w:pPr>
      <w:r>
        <w:rPr>
          <w:rFonts w:hint="eastAsia" w:hAnsi="仿宋_GB2312" w:eastAsia="仿宋_GB2312" w:cs="仿宋_GB2312"/>
          <w:sz w:val="32"/>
          <w:szCs w:val="32"/>
          <w:highlight w:val="none"/>
        </w:rPr>
        <w:t>加强农村基层干部队伍、农业公共服务人才队伍、农业综合</w:t>
      </w:r>
      <w:r>
        <w:rPr>
          <w:rFonts w:hint="eastAsia" w:ascii="Times New Roman" w:hAnsi="仿宋_GB2312" w:eastAsia="仿宋_GB2312" w:cs="仿宋_GB2312"/>
          <w:sz w:val="32"/>
          <w:szCs w:val="32"/>
          <w:highlight w:val="none"/>
          <w:lang w:bidi="zh-TW"/>
        </w:rPr>
        <w:t>执法人才队伍等基层队伍建设。保障基层队伍工作经费，完善乡镇基层工资福利政策。充分利用对口帮扶机制、远程教育加大基层队伍人才培训，提升基层队伍人员素质。组织各类亟需的基层人才招聘，强化基层工作力量。完善基层队伍岗位聘用、职级晋升和职称评定方面的倾斜政策，建立健全有利于各类人才向基层流动的政策支持体系。建设乡村振兴人才平台，支持各区（县级市、</w:t>
      </w:r>
      <w:r>
        <w:rPr>
          <w:rFonts w:hint="eastAsia" w:ascii="Times New Roman" w:hAnsi="仿宋_GB2312" w:eastAsia="仿宋_GB2312" w:cs="仿宋_GB2312"/>
          <w:sz w:val="32"/>
          <w:szCs w:val="32"/>
          <w:highlight w:val="none"/>
        </w:rPr>
        <w:t>经济功能区</w:t>
      </w:r>
      <w:r>
        <w:rPr>
          <w:rFonts w:hint="eastAsia" w:ascii="Times New Roman" w:hAnsi="仿宋_GB2312" w:eastAsia="仿宋_GB2312" w:cs="仿宋_GB2312"/>
          <w:sz w:val="32"/>
          <w:szCs w:val="32"/>
          <w:highlight w:val="none"/>
          <w:lang w:bidi="zh-TW"/>
        </w:rPr>
        <w:t>）建设县级乡村振兴人才驿站，推动各重点帮扶镇建设镇级乡村振兴人才驿站，积极拓展乡村柔性引才渠道；探索建立乡村实用人才培训工作体系，着力强化职业农民培养和农村职业教育，培养造就一支懂农业、爱农村、爱农民的“三农”基层工作队伍，为加快推进农业农村现代化提供坚实人才支撑。</w:t>
      </w:r>
    </w:p>
    <w:p>
      <w:pPr>
        <w:pStyle w:val="5"/>
        <w:spacing w:before="0" w:beforeLines="0" w:after="0" w:afterLines="0" w:line="600" w:lineRule="exact"/>
        <w:jc w:val="center"/>
        <w:rPr>
          <w:rFonts w:ascii="Times New Roman" w:hAnsi="Times New Roman" w:eastAsia="黑体"/>
          <w:b w:val="0"/>
          <w:bCs w:val="0"/>
          <w:sz w:val="32"/>
          <w:highlight w:val="none"/>
        </w:rPr>
      </w:pPr>
      <w:bookmarkStart w:id="2006" w:name="_Toc13658"/>
      <w:bookmarkStart w:id="2007" w:name="_Toc12898"/>
      <w:bookmarkStart w:id="2008" w:name="_Toc27248"/>
      <w:bookmarkStart w:id="2009" w:name="_Toc46384922"/>
      <w:bookmarkStart w:id="2010" w:name="_Toc12480"/>
      <w:bookmarkStart w:id="2011" w:name="_Toc18676"/>
      <w:bookmarkStart w:id="2012" w:name="_Toc24344"/>
      <w:bookmarkStart w:id="2013" w:name="_Toc4849"/>
      <w:bookmarkStart w:id="2014" w:name="_Toc11918"/>
      <w:bookmarkStart w:id="2015" w:name="_Toc28974"/>
      <w:bookmarkStart w:id="2016" w:name="_Toc1841"/>
      <w:bookmarkStart w:id="2017" w:name="_Toc3772"/>
      <w:bookmarkStart w:id="2018" w:name="_Toc19473"/>
      <w:bookmarkStart w:id="2019" w:name="_Toc16072"/>
      <w:bookmarkStart w:id="2020" w:name="_Toc29493"/>
      <w:bookmarkStart w:id="2021" w:name="_Toc5406"/>
      <w:bookmarkStart w:id="2022" w:name="_Toc46329052"/>
      <w:bookmarkStart w:id="2023" w:name="_Toc46384917"/>
      <w:bookmarkStart w:id="2024" w:name="_Toc46329047"/>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w:t>
      </w:r>
      <w:r>
        <w:rPr>
          <w:rFonts w:hint="eastAsia" w:ascii="Times New Roman" w:hAnsi="Times New Roman" w:eastAsia="黑体"/>
          <w:b w:val="0"/>
          <w:bCs w:val="0"/>
          <w:sz w:val="32"/>
          <w:highlight w:val="none"/>
        </w:rPr>
        <w:t>六</w:t>
      </w:r>
      <w:r>
        <w:rPr>
          <w:rFonts w:ascii="Times New Roman" w:hAnsi="Times New Roman" w:eastAsia="黑体"/>
          <w:b w:val="0"/>
          <w:bCs w:val="0"/>
          <w:sz w:val="32"/>
          <w:highlight w:val="none"/>
        </w:rPr>
        <w:t>节  注重典型带动</w:t>
      </w:r>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spacing w:line="600" w:lineRule="exact"/>
        <w:ind w:firstLine="600"/>
        <w:rPr>
          <w:rFonts w:hint="eastAsia" w:ascii="Times New Roman" w:hAnsi="仿宋_GB2312" w:eastAsia="仿宋_GB2312" w:cs="仿宋_GB2312"/>
          <w:sz w:val="32"/>
          <w:szCs w:val="32"/>
          <w:highlight w:val="none"/>
          <w:lang w:bidi="zh-TW"/>
        </w:rPr>
      </w:pPr>
      <w:r>
        <w:rPr>
          <w:rFonts w:hint="eastAsia" w:hAnsi="仿宋_GB2312" w:eastAsia="仿宋_GB2312" w:cs="仿宋_GB2312"/>
          <w:sz w:val="32"/>
          <w:szCs w:val="32"/>
          <w:highlight w:val="none"/>
        </w:rPr>
        <w:t>通过广播电视、报纸、网站、微博、微信</w:t>
      </w:r>
      <w:r>
        <w:rPr>
          <w:rFonts w:hint="eastAsia" w:ascii="Times New Roman" w:hAnsi="仿宋_GB2312" w:eastAsia="仿宋_GB2312" w:cs="仿宋_GB2312"/>
          <w:sz w:val="32"/>
          <w:szCs w:val="32"/>
          <w:highlight w:val="none"/>
        </w:rPr>
        <w:t>、短视频</w:t>
      </w:r>
      <w:r>
        <w:rPr>
          <w:rFonts w:hint="eastAsia" w:hAnsi="仿宋_GB2312" w:eastAsia="仿宋_GB2312" w:cs="仿宋_GB2312"/>
          <w:sz w:val="32"/>
          <w:szCs w:val="32"/>
          <w:highlight w:val="none"/>
        </w:rPr>
        <w:t>等媒介，采取群众</w:t>
      </w:r>
      <w:r>
        <w:rPr>
          <w:rFonts w:hint="eastAsia" w:ascii="Times New Roman" w:hAnsi="仿宋_GB2312" w:eastAsia="仿宋_GB2312" w:cs="仿宋_GB2312"/>
          <w:sz w:val="32"/>
          <w:szCs w:val="32"/>
          <w:highlight w:val="none"/>
          <w:lang w:bidi="zh-TW"/>
        </w:rPr>
        <w:t>喜闻乐见的形式，深入宣传党的“三农”方针政策及规划成果。注重典型示范引领，挖掘各地推进农业农村现代化的好做法、好典型、好经验，引导全社会形成合力推进农业农村各项工作，为推动乡村振兴营造良好氛围。积极开展经验交流活动，借鉴各地经验，引导全社会形成合力，为打造高水平乡村振兴“茂名样板”贡献智慧和力量。</w:t>
      </w:r>
    </w:p>
    <w:p>
      <w:pPr>
        <w:pStyle w:val="5"/>
        <w:spacing w:before="0" w:beforeLines="0" w:after="0" w:afterLines="0" w:line="600" w:lineRule="exact"/>
        <w:jc w:val="center"/>
        <w:rPr>
          <w:rFonts w:ascii="Times New Roman" w:hAnsi="Times New Roman" w:eastAsia="黑体"/>
          <w:b w:val="0"/>
          <w:bCs w:val="0"/>
          <w:sz w:val="32"/>
          <w:highlight w:val="none"/>
        </w:rPr>
      </w:pPr>
      <w:bookmarkStart w:id="2025" w:name="_Toc18010"/>
      <w:bookmarkStart w:id="2026" w:name="_Toc17395"/>
      <w:bookmarkStart w:id="2027" w:name="_Toc8044"/>
      <w:bookmarkStart w:id="2028" w:name="_Toc30202"/>
      <w:bookmarkStart w:id="2029" w:name="_Toc29904"/>
      <w:bookmarkStart w:id="2030" w:name="_Toc317"/>
      <w:bookmarkStart w:id="2031" w:name="_Toc27488"/>
      <w:bookmarkStart w:id="2032" w:name="_Toc9958"/>
      <w:bookmarkStart w:id="2033" w:name="_Toc9154"/>
      <w:bookmarkStart w:id="2034" w:name="_Toc24669"/>
      <w:bookmarkStart w:id="2035" w:name="_Toc10657"/>
      <w:bookmarkStart w:id="2036" w:name="_Toc112"/>
      <w:bookmarkStart w:id="2037" w:name="_Toc16696"/>
      <w:bookmarkStart w:id="2038" w:name="_Toc204"/>
      <w:bookmarkStart w:id="2039" w:name="_Toc18479"/>
    </w:p>
    <w:p>
      <w:pPr>
        <w:pStyle w:val="5"/>
        <w:spacing w:before="0" w:beforeLines="0" w:after="0" w:afterLines="0" w:line="600" w:lineRule="exact"/>
        <w:jc w:val="center"/>
        <w:rPr>
          <w:rFonts w:ascii="Times New Roman" w:hAnsi="Times New Roman" w:eastAsia="黑体"/>
          <w:b w:val="0"/>
          <w:bCs w:val="0"/>
          <w:sz w:val="32"/>
          <w:highlight w:val="none"/>
        </w:rPr>
      </w:pPr>
      <w:r>
        <w:rPr>
          <w:rFonts w:ascii="Times New Roman" w:hAnsi="Times New Roman" w:eastAsia="黑体"/>
          <w:b w:val="0"/>
          <w:bCs w:val="0"/>
          <w:sz w:val="32"/>
          <w:highlight w:val="none"/>
        </w:rPr>
        <w:t>第</w:t>
      </w:r>
      <w:r>
        <w:rPr>
          <w:rFonts w:hint="eastAsia" w:ascii="Times New Roman" w:hAnsi="Times New Roman" w:eastAsia="黑体"/>
          <w:b w:val="0"/>
          <w:bCs w:val="0"/>
          <w:sz w:val="32"/>
          <w:highlight w:val="none"/>
        </w:rPr>
        <w:t>七</w:t>
      </w:r>
      <w:r>
        <w:rPr>
          <w:rFonts w:ascii="Times New Roman" w:hAnsi="Times New Roman" w:eastAsia="黑体"/>
          <w:b w:val="0"/>
          <w:bCs w:val="0"/>
          <w:sz w:val="32"/>
          <w:highlight w:val="none"/>
        </w:rPr>
        <w:t>节  开展评估考核</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pPr>
        <w:spacing w:line="600" w:lineRule="exact"/>
        <w:ind w:firstLine="600"/>
        <w:rPr>
          <w:rFonts w:hint="eastAsia" w:ascii="Times New Roman" w:hAnsi="仿宋_GB2312" w:eastAsia="仿宋_GB2312" w:cs="仿宋_GB2312"/>
          <w:sz w:val="32"/>
          <w:szCs w:val="32"/>
          <w:highlight w:val="none"/>
          <w:lang w:bidi="zh-TW"/>
        </w:rPr>
      </w:pPr>
      <w:r>
        <w:rPr>
          <w:rFonts w:hint="eastAsia" w:hAnsi="仿宋_GB2312" w:eastAsia="仿宋_GB2312" w:cs="仿宋_GB2312"/>
          <w:sz w:val="32"/>
          <w:szCs w:val="32"/>
          <w:highlight w:val="none"/>
        </w:rPr>
        <w:t>加</w:t>
      </w:r>
      <w:r>
        <w:rPr>
          <w:rFonts w:hint="eastAsia" w:ascii="Times New Roman" w:hAnsi="仿宋_GB2312" w:eastAsia="仿宋_GB2312" w:cs="仿宋_GB2312"/>
          <w:sz w:val="32"/>
          <w:szCs w:val="32"/>
          <w:highlight w:val="none"/>
          <w:lang w:bidi="zh-TW"/>
        </w:rPr>
        <w:t>强农业农村现代化规划实施考核和激励约束，明确规划确定的约束性指标以及重大工程、重大项目、重大政策和重要改革的责任主体和进度要求，将规划实施成效纳入各级政府及有关部门的目标管理。</w:t>
      </w:r>
      <w:r>
        <w:rPr>
          <w:rFonts w:hint="eastAsia" w:ascii="Times New Roman" w:hAnsi="仿宋_GB2312" w:eastAsia="仿宋_GB2312" w:cs="仿宋_GB2312"/>
          <w:color w:val="auto"/>
          <w:sz w:val="32"/>
          <w:szCs w:val="32"/>
          <w:highlight w:val="none"/>
          <w:lang w:bidi="zh-TW"/>
        </w:rPr>
        <w:t>探索实行规划实施考核结果与被考核责任主体绩效相挂钩机制，考核结果作为各级领导班子调整和领导干部选拔任用、奖励惩戒的重要依据，</w:t>
      </w:r>
      <w:r>
        <w:rPr>
          <w:rFonts w:hint="eastAsia" w:ascii="Times New Roman" w:hAnsi="仿宋_GB2312" w:eastAsia="仿宋_GB2312" w:cs="仿宋_GB2312"/>
          <w:sz w:val="32"/>
          <w:szCs w:val="32"/>
          <w:highlight w:val="none"/>
          <w:lang w:bidi="zh-TW"/>
        </w:rPr>
        <w:t>推动各项目标任务按照时间节点和计划要求规范有序落地落实。</w:t>
      </w:r>
      <w:r>
        <w:rPr>
          <w:rFonts w:hint="eastAsia" w:ascii="Times New Roman" w:hAnsi="仿宋_GB2312" w:eastAsia="仿宋_GB2312" w:cs="仿宋_GB2312"/>
          <w:sz w:val="32"/>
          <w:szCs w:val="32"/>
          <w:highlight w:val="none"/>
        </w:rPr>
        <w:t>各区（县级市、经济功能区）政府（管委会）</w:t>
      </w:r>
      <w:r>
        <w:rPr>
          <w:rFonts w:hint="eastAsia" w:ascii="Times New Roman" w:hAnsi="仿宋_GB2312" w:eastAsia="仿宋_GB2312" w:cs="仿宋_GB2312"/>
          <w:sz w:val="32"/>
          <w:szCs w:val="32"/>
          <w:highlight w:val="none"/>
          <w:lang w:bidi="zh-TW"/>
        </w:rPr>
        <w:t>定期研究和调研督导农业农村工作。</w:t>
      </w:r>
      <w:r>
        <w:rPr>
          <w:rFonts w:hint="eastAsia" w:ascii="Times New Roman" w:hAnsi="仿宋_GB2312" w:eastAsia="仿宋_GB2312" w:cs="仿宋_GB2312"/>
          <w:sz w:val="32"/>
          <w:szCs w:val="32"/>
          <w:highlight w:val="none"/>
        </w:rPr>
        <w:t>组织开展规划实施年度监测分析、中期评估和总结评估。</w:t>
      </w:r>
      <w:r>
        <w:rPr>
          <w:rFonts w:hint="eastAsia" w:ascii="Times New Roman" w:hAnsi="仿宋_GB2312" w:eastAsia="仿宋_GB2312" w:cs="仿宋_GB2312"/>
          <w:sz w:val="32"/>
          <w:szCs w:val="32"/>
          <w:highlight w:val="none"/>
          <w:lang w:bidi="zh-TW"/>
        </w:rPr>
        <w:t>建立规划实施第三方评价机制，委托第三方评估机构开展规划实施中期评估和规划实施后评估。</w:t>
      </w:r>
    </w:p>
    <w:p>
      <w:pPr>
        <w:pStyle w:val="2"/>
        <w:ind w:left="0" w:leftChars="0" w:firstLine="0" w:firstLineChars="0"/>
        <w:rPr>
          <w:rFonts w:hint="eastAsia" w:ascii="仿宋" w:hAnsi="仿宋" w:cs="仿宋"/>
          <w:b/>
          <w:bCs/>
          <w:sz w:val="32"/>
          <w:szCs w:val="32"/>
          <w:highlight w:val="yellow"/>
          <w:lang w:bidi="zh-TW"/>
        </w:rPr>
      </w:pPr>
    </w:p>
    <w:p>
      <w:pPr>
        <w:tabs>
          <w:tab w:val="right" w:leader="dot" w:pos="8473"/>
        </w:tabs>
        <w:spacing w:line="600" w:lineRule="exact"/>
        <w:rPr>
          <w:rFonts w:hint="eastAsia" w:ascii="仿宋_GB2312" w:hAnsi="仿宋_GB2312" w:eastAsia="仿宋_GB2312" w:cs="仿宋_GB2312"/>
          <w:sz w:val="32"/>
          <w:szCs w:val="32"/>
          <w:highlight w:val="none"/>
        </w:rPr>
      </w:pPr>
      <w:r>
        <w:rPr>
          <w:rFonts w:hint="eastAsia" w:ascii="仿宋" w:hAnsi="仿宋" w:cs="仿宋"/>
          <w:b/>
          <w:bCs/>
          <w:sz w:val="32"/>
          <w:szCs w:val="32"/>
          <w:highlight w:val="none"/>
          <w:lang w:val="en-US" w:eastAsia="zh-CN" w:bidi="zh-TW"/>
        </w:rPr>
        <w:t xml:space="preserve"> </w:t>
      </w:r>
      <w:r>
        <w:rPr>
          <w:rFonts w:hint="eastAsia" w:ascii="仿宋_GB2312" w:hAnsi="仿宋_GB2312" w:eastAsia="仿宋_GB2312" w:cs="仿宋_GB2312"/>
          <w:b/>
          <w:bCs/>
          <w:sz w:val="32"/>
          <w:szCs w:val="32"/>
          <w:highlight w:val="none"/>
          <w:lang w:val="en-US" w:eastAsia="zh-CN" w:bidi="zh-TW"/>
        </w:rPr>
        <w:t xml:space="preserve">   </w:t>
      </w: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pacing w:val="-6"/>
          <w:sz w:val="32"/>
          <w:szCs w:val="32"/>
          <w:highlight w:val="none"/>
        </w:rPr>
        <w:t>1</w:t>
      </w:r>
      <w:r>
        <w:rPr>
          <w:rFonts w:hint="eastAsia" w:ascii="仿宋_GB2312" w:hAnsi="仿宋_GB2312" w:eastAsia="仿宋_GB2312" w:cs="仿宋_GB2312"/>
          <w:spacing w:val="-6"/>
          <w:sz w:val="32"/>
          <w:szCs w:val="32"/>
          <w:highlight w:val="none"/>
          <w:lang w:val="en-US" w:eastAsia="zh-CN"/>
        </w:rPr>
        <w:t>.</w:t>
      </w:r>
      <w:r>
        <w:rPr>
          <w:rFonts w:hint="eastAsia" w:ascii="仿宋_GB2312" w:hAnsi="仿宋_GB2312" w:eastAsia="仿宋_GB2312" w:cs="仿宋_GB2312"/>
          <w:spacing w:val="-6"/>
          <w:sz w:val="32"/>
          <w:szCs w:val="32"/>
          <w:highlight w:val="none"/>
        </w:rPr>
        <w:t>茂名市农业农村现代化“十四五”规划在建重大项目</w:t>
      </w:r>
      <w:r>
        <w:rPr>
          <w:rFonts w:hint="eastAsia" w:ascii="仿宋_GB2312" w:hAnsi="仿宋_GB2312" w:eastAsia="仿宋_GB2312" w:cs="仿宋_GB2312"/>
          <w:sz w:val="32"/>
          <w:szCs w:val="32"/>
          <w:highlight w:val="none"/>
        </w:rPr>
        <w:fldChar w:fldCharType="end"/>
      </w:r>
    </w:p>
    <w:p>
      <w:pPr>
        <w:pStyle w:val="2"/>
        <w:ind w:left="0" w:leftChars="0" w:firstLine="0" w:firstLineChars="0"/>
        <w:rPr>
          <w:rFonts w:hint="eastAsia" w:ascii="仿宋" w:hAnsi="仿宋" w:cs="仿宋"/>
          <w:sz w:val="32"/>
          <w:szCs w:val="32"/>
          <w:highlight w:val="none"/>
          <w:lang w:bidi="zh-TW"/>
        </w:rPr>
      </w:pPr>
      <w:r>
        <w:rPr>
          <w:rFonts w:hint="eastAsia" w:ascii="仿宋_GB2312" w:hAnsi="仿宋_GB2312" w:eastAsia="仿宋_GB2312" w:cs="仿宋_GB2312"/>
          <w:sz w:val="32"/>
          <w:highlight w:val="none"/>
          <w:lang w:val="en-US" w:eastAsia="zh-CN"/>
        </w:rPr>
        <w:t xml:space="preserve">          </w:t>
      </w:r>
      <w:r>
        <w:rPr>
          <w:rFonts w:hint="eastAsia" w:ascii="仿宋_GB2312" w:hAnsi="仿宋_GB2312" w:eastAsia="仿宋_GB2312" w:cs="仿宋_GB2312"/>
          <w:sz w:val="32"/>
          <w:highlight w:val="none"/>
        </w:rPr>
        <w:fldChar w:fldCharType="begin"/>
      </w:r>
      <w:r>
        <w:rPr>
          <w:rFonts w:hint="eastAsia" w:ascii="仿宋_GB2312" w:hAnsi="仿宋_GB2312" w:eastAsia="仿宋_GB2312" w:cs="仿宋_GB2312"/>
          <w:sz w:val="32"/>
          <w:highlight w:val="none"/>
        </w:rPr>
        <w:instrText xml:space="preserve"> HYPERLINK \l _Toc6159 </w:instrText>
      </w:r>
      <w:r>
        <w:rPr>
          <w:rFonts w:hint="eastAsia" w:ascii="仿宋_GB2312" w:hAnsi="仿宋_GB2312" w:eastAsia="仿宋_GB2312" w:cs="仿宋_GB2312"/>
          <w:sz w:val="32"/>
          <w:highlight w:val="none"/>
        </w:rPr>
        <w:fldChar w:fldCharType="separate"/>
      </w:r>
      <w:r>
        <w:rPr>
          <w:rFonts w:hint="eastAsia" w:ascii="仿宋_GB2312" w:hAnsi="仿宋_GB2312" w:eastAsia="仿宋_GB2312" w:cs="仿宋_GB2312"/>
          <w:sz w:val="32"/>
          <w:highlight w:val="none"/>
          <w:lang w:val="en-US" w:eastAsia="zh-CN"/>
        </w:rPr>
        <w:t>2.</w:t>
      </w:r>
      <w:r>
        <w:rPr>
          <w:rFonts w:hint="eastAsia" w:ascii="仿宋_GB2312" w:hAnsi="仿宋_GB2312" w:eastAsia="仿宋_GB2312" w:cs="仿宋_GB2312"/>
          <w:spacing w:val="-6"/>
          <w:sz w:val="32"/>
          <w:szCs w:val="32"/>
          <w:highlight w:val="none"/>
        </w:rPr>
        <w:t>茂名市农业农村现代化“十四五”规划储备重大项目</w:t>
      </w:r>
      <w:r>
        <w:rPr>
          <w:rFonts w:hint="eastAsia" w:ascii="仿宋_GB2312" w:hAnsi="仿宋_GB2312" w:eastAsia="仿宋_GB2312" w:cs="仿宋_GB2312"/>
          <w:spacing w:val="-6"/>
          <w:sz w:val="32"/>
          <w:highlight w:val="none"/>
        </w:rPr>
        <w:tab/>
      </w:r>
      <w:r>
        <w:rPr>
          <w:rFonts w:hint="eastAsia" w:ascii="仿宋_GB2312" w:hAnsi="仿宋_GB2312" w:eastAsia="仿宋_GB2312" w:cs="仿宋_GB2312"/>
          <w:sz w:val="32"/>
          <w:highlight w:val="none"/>
        </w:rPr>
        <w:fldChar w:fldCharType="end"/>
      </w:r>
    </w:p>
    <w:p>
      <w:pPr>
        <w:pStyle w:val="2"/>
        <w:ind w:firstLine="640"/>
        <w:rPr>
          <w:rFonts w:hint="eastAsia" w:ascii="仿宋" w:hAnsi="仿宋" w:cs="仿宋"/>
          <w:sz w:val="32"/>
          <w:szCs w:val="32"/>
          <w:highlight w:val="none"/>
          <w:lang w:bidi="zh-TW"/>
        </w:rPr>
      </w:pPr>
    </w:p>
    <w:p>
      <w:pPr>
        <w:pStyle w:val="2"/>
        <w:ind w:firstLine="640"/>
        <w:rPr>
          <w:rFonts w:hint="eastAsia" w:ascii="仿宋" w:hAnsi="仿宋" w:cs="仿宋"/>
          <w:sz w:val="32"/>
          <w:szCs w:val="32"/>
          <w:highlight w:val="none"/>
          <w:lang w:bidi="zh-TW"/>
        </w:rPr>
      </w:pPr>
    </w:p>
    <w:p>
      <w:pPr>
        <w:pStyle w:val="2"/>
        <w:ind w:firstLine="640"/>
        <w:rPr>
          <w:rFonts w:hint="eastAsia" w:ascii="仿宋" w:hAnsi="仿宋" w:cs="仿宋"/>
          <w:sz w:val="32"/>
          <w:szCs w:val="32"/>
          <w:highlight w:val="none"/>
          <w:lang w:bidi="zh-TW"/>
        </w:rPr>
        <w:sectPr>
          <w:footerReference r:id="rId16" w:type="default"/>
          <w:pgSz w:w="11906" w:h="16838"/>
          <w:pgMar w:top="1927" w:right="1304" w:bottom="1531" w:left="1531" w:header="851" w:footer="1417" w:gutter="0"/>
          <w:pgNumType w:fmt="numberInDash"/>
          <w:cols w:space="720" w:num="1"/>
          <w:docGrid w:type="lines" w:linePitch="312" w:charSpace="0"/>
        </w:sectPr>
      </w:pPr>
    </w:p>
    <w:p>
      <w:pPr>
        <w:ind w:left="0" w:firstLine="0" w:firstLineChars="0"/>
        <w:jc w:val="both"/>
        <w:rPr>
          <w:rFonts w:eastAsia="方正小标宋简体"/>
          <w:b w:val="0"/>
          <w:bCs w:val="0"/>
          <w:kern w:val="2"/>
          <w:sz w:val="44"/>
          <w:highlight w:val="none"/>
        </w:rPr>
      </w:pPr>
      <w:bookmarkStart w:id="2040" w:name="_Toc21494"/>
      <w:bookmarkStart w:id="2041" w:name="_Toc19575"/>
      <w:bookmarkStart w:id="2042" w:name="_Toc12477"/>
      <w:bookmarkStart w:id="2043" w:name="_Toc4033"/>
      <w:bookmarkStart w:id="2044" w:name="_Toc15639"/>
      <w:bookmarkStart w:id="2045" w:name="_Toc7922"/>
      <w:bookmarkStart w:id="2046" w:name="_Toc17385"/>
      <w:bookmarkStart w:id="2047" w:name="_Toc19727"/>
      <w:bookmarkStart w:id="2048" w:name="_Toc27658"/>
      <w:bookmarkStart w:id="2049" w:name="_Toc7519"/>
      <w:r>
        <w:rPr>
          <w:rFonts w:hint="eastAsia" w:ascii="黑体" w:hAnsi="黑体" w:eastAsia="黑体" w:cs="黑体"/>
          <w:b w:val="0"/>
          <w:bCs w:val="0"/>
          <w:kern w:val="2"/>
          <w:sz w:val="32"/>
          <w:szCs w:val="32"/>
          <w:highlight w:val="none"/>
        </w:rPr>
        <w:t>附件1</w:t>
      </w:r>
      <w:bookmarkEnd w:id="2040"/>
      <w:bookmarkEnd w:id="2041"/>
      <w:bookmarkEnd w:id="2042"/>
      <w:bookmarkEnd w:id="2043"/>
      <w:bookmarkEnd w:id="2044"/>
      <w:bookmarkEnd w:id="2045"/>
      <w:bookmarkEnd w:id="2046"/>
      <w:bookmarkEnd w:id="2047"/>
      <w:bookmarkEnd w:id="2048"/>
      <w:bookmarkStart w:id="2050" w:name="_Toc28678"/>
      <w:bookmarkStart w:id="2051" w:name="_Toc2245"/>
      <w:bookmarkStart w:id="2052" w:name="_Toc29125"/>
      <w:bookmarkStart w:id="2053" w:name="_Toc22126"/>
      <w:bookmarkStart w:id="2054" w:name="_Toc99"/>
      <w:bookmarkStart w:id="2055" w:name="_Toc4120"/>
      <w:bookmarkStart w:id="2056" w:name="_Toc16241"/>
      <w:bookmarkStart w:id="2057" w:name="_Toc15165"/>
      <w:bookmarkStart w:id="2058" w:name="_Toc17191"/>
      <w:bookmarkStart w:id="2059" w:name="_Toc18436"/>
      <w:r>
        <w:rPr>
          <w:rFonts w:eastAsia="方正小标宋简体"/>
          <w:b w:val="0"/>
          <w:bCs w:val="0"/>
          <w:kern w:val="2"/>
          <w:sz w:val="44"/>
          <w:highlight w:val="none"/>
        </w:rPr>
        <w:br w:type="textWrapping"/>
      </w:r>
      <w:r>
        <w:rPr>
          <w:rFonts w:hint="eastAsia" w:eastAsia="方正小标宋简体"/>
          <w:b w:val="0"/>
          <w:bCs w:val="0"/>
          <w:kern w:val="2"/>
          <w:sz w:val="44"/>
          <w:highlight w:val="none"/>
          <w:lang w:val="en-US" w:eastAsia="zh-CN"/>
        </w:rPr>
        <w:t xml:space="preserve">         </w:t>
      </w:r>
      <w:r>
        <w:rPr>
          <w:rFonts w:eastAsia="方正小标宋简体"/>
          <w:b w:val="0"/>
          <w:bCs w:val="0"/>
          <w:kern w:val="2"/>
          <w:sz w:val="44"/>
          <w:highlight w:val="none"/>
        </w:rPr>
        <w:t>茂名市农业农村现代化“十四五”规划在建重大项目</w:t>
      </w:r>
      <w:bookmarkEnd w:id="2049"/>
      <w:bookmarkEnd w:id="2050"/>
      <w:bookmarkEnd w:id="2051"/>
      <w:bookmarkEnd w:id="2052"/>
      <w:bookmarkEnd w:id="2053"/>
      <w:bookmarkEnd w:id="2054"/>
      <w:bookmarkEnd w:id="2055"/>
      <w:bookmarkEnd w:id="2056"/>
      <w:bookmarkEnd w:id="2057"/>
      <w:bookmarkEnd w:id="2058"/>
      <w:bookmarkEnd w:id="2059"/>
    </w:p>
    <w:tbl>
      <w:tblPr>
        <w:tblStyle w:val="14"/>
        <w:tblW w:w="0" w:type="auto"/>
        <w:tblInd w:w="0" w:type="dxa"/>
        <w:tblLayout w:type="fixed"/>
        <w:tblCellMar>
          <w:top w:w="0" w:type="dxa"/>
          <w:left w:w="0" w:type="dxa"/>
          <w:bottom w:w="0" w:type="dxa"/>
          <w:right w:w="0" w:type="dxa"/>
        </w:tblCellMar>
      </w:tblPr>
      <w:tblGrid>
        <w:gridCol w:w="363"/>
        <w:gridCol w:w="948"/>
        <w:gridCol w:w="610"/>
        <w:gridCol w:w="945"/>
        <w:gridCol w:w="2850"/>
        <w:gridCol w:w="1185"/>
        <w:gridCol w:w="990"/>
        <w:gridCol w:w="658"/>
        <w:gridCol w:w="1020"/>
        <w:gridCol w:w="690"/>
        <w:gridCol w:w="690"/>
        <w:gridCol w:w="800"/>
        <w:gridCol w:w="1280"/>
        <w:gridCol w:w="1134"/>
      </w:tblGrid>
      <w:tr>
        <w:tblPrEx>
          <w:tblCellMar>
            <w:top w:w="0" w:type="dxa"/>
            <w:left w:w="0" w:type="dxa"/>
            <w:bottom w:w="0" w:type="dxa"/>
            <w:right w:w="0" w:type="dxa"/>
          </w:tblCellMar>
        </w:tblPrEx>
        <w:trPr>
          <w:trHeight w:val="330" w:hRule="atLeast"/>
          <w:tblHeader/>
        </w:trPr>
        <w:tc>
          <w:tcPr>
            <w:tcW w:w="3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序号</w:t>
            </w:r>
          </w:p>
        </w:tc>
        <w:tc>
          <w:tcPr>
            <w:tcW w:w="9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项 目</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名 称</w:t>
            </w:r>
          </w:p>
        </w:tc>
        <w:tc>
          <w:tcPr>
            <w:tcW w:w="6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建设性质</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建设</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地点</w:t>
            </w:r>
          </w:p>
        </w:tc>
        <w:tc>
          <w:tcPr>
            <w:tcW w:w="28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建设规模及主要内容</w:t>
            </w:r>
          </w:p>
        </w:tc>
        <w:tc>
          <w:tcPr>
            <w:tcW w:w="11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建设</w:t>
            </w:r>
          </w:p>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起止</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年限</w:t>
            </w:r>
          </w:p>
        </w:tc>
        <w:tc>
          <w:tcPr>
            <w:tcW w:w="9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总投资</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(万元)</w:t>
            </w:r>
          </w:p>
        </w:tc>
        <w:tc>
          <w:tcPr>
            <w:tcW w:w="385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资金来源（万元）</w:t>
            </w:r>
          </w:p>
        </w:tc>
        <w:tc>
          <w:tcPr>
            <w:tcW w:w="12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项目</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类别</w:t>
            </w:r>
          </w:p>
        </w:tc>
        <w:tc>
          <w:tcPr>
            <w:tcW w:w="11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备注</w:t>
            </w:r>
          </w:p>
        </w:tc>
      </w:tr>
      <w:tr>
        <w:tblPrEx>
          <w:tblCellMar>
            <w:top w:w="0" w:type="dxa"/>
            <w:left w:w="0" w:type="dxa"/>
            <w:bottom w:w="0" w:type="dxa"/>
            <w:right w:w="0" w:type="dxa"/>
          </w:tblCellMar>
        </w:tblPrEx>
        <w:trPr>
          <w:trHeight w:val="570" w:hRule="atLeast"/>
          <w:tblHeader/>
        </w:trPr>
        <w:tc>
          <w:tcPr>
            <w:tcW w:w="3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9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28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Times New Roman" w:hAnsi="Times New Roman" w:eastAsia="黑体"/>
                <w:sz w:val="22"/>
                <w:szCs w:val="22"/>
                <w:highlight w:val="none"/>
              </w:rPr>
            </w:pPr>
          </w:p>
        </w:tc>
        <w:tc>
          <w:tcPr>
            <w:tcW w:w="11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中央</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省</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市</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县</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其他</w:t>
            </w:r>
          </w:p>
        </w:tc>
        <w:tc>
          <w:tcPr>
            <w:tcW w:w="12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r>
      <w:tr>
        <w:tblPrEx>
          <w:tblCellMar>
            <w:top w:w="0" w:type="dxa"/>
            <w:left w:w="0" w:type="dxa"/>
            <w:bottom w:w="0" w:type="dxa"/>
            <w:right w:w="0" w:type="dxa"/>
          </w:tblCellMar>
        </w:tblPrEx>
        <w:trPr>
          <w:trHeight w:val="12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广东荔枝跨县集群产业园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茂名市等</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一、农业设施项目，包括广州荔枝公司总部综合体建设项目和茂名（高州）生产基地项目；二、土地流转项目；三、产业融合项目，包括“1+5”相关地市荔枝产业合作和茂名田头小站项目；四、科技研发与信息支撑，包括荔枝科研实验室建设项目和荔枝科技支撑项目；五、荔枝品牌打造项目。</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2021-2022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70000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55000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初步方案：我市实施项目一是茂名（高州）生产基地（原荔枝原浆项目）项目共3.3亿元，其中省级财政投入3000万，广药集团自筹3亿元；二是田头小站建设项目，省财政投入2000万；三是土地流转项目，省财政投入500万元。</w:t>
            </w:r>
          </w:p>
        </w:tc>
      </w:tr>
      <w:tr>
        <w:tblPrEx>
          <w:tblCellMar>
            <w:top w:w="0" w:type="dxa"/>
            <w:left w:w="0" w:type="dxa"/>
            <w:bottom w:w="0" w:type="dxa"/>
            <w:right w:w="0" w:type="dxa"/>
          </w:tblCellMar>
        </w:tblPrEx>
        <w:trPr>
          <w:trHeight w:val="10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4"/>
                <w:highlight w:val="none"/>
                <w:lang w:bidi="ar"/>
              </w:rPr>
              <w:t>广东罗非鱼产业集群</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在建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茂名市</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Fonts w:hint="eastAsia" w:ascii="仿宋_GB2312" w:hAnsi="仿宋_GB2312" w:cs="仿宋_GB2312"/>
                <w:kern w:val="0"/>
                <w:sz w:val="24"/>
                <w:highlight w:val="none"/>
                <w:lang w:bidi="ar"/>
              </w:rPr>
              <w:t>一、罗非鱼标准化健康养殖工程；二、罗非鱼产业融合发展工程；三、罗非鱼产业科技协同创新工程；四、罗非鱼品牌质量保障工程。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2021-2024</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22580（分批投资，2021年投资数目）</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7000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0</w:t>
            </w:r>
          </w:p>
        </w:tc>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4000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11580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农业部财政部优势特色产业集群项目</w:t>
            </w:r>
          </w:p>
        </w:tc>
      </w:tr>
      <w:tr>
        <w:tblPrEx>
          <w:tblCellMar>
            <w:top w:w="0" w:type="dxa"/>
            <w:left w:w="0" w:type="dxa"/>
            <w:bottom w:w="0" w:type="dxa"/>
            <w:right w:w="0" w:type="dxa"/>
          </w:tblCellMar>
        </w:tblPrEx>
        <w:trPr>
          <w:trHeight w:val="13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茂名荔枝国家现代农业产业园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茂名市</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围绕连片生产基地、加工、科技、品牌等加快产业融合，建设产业链条相对完整的现代农业产业园。</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2018-2021</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200000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10000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180000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国家现代农业产业园</w:t>
            </w:r>
          </w:p>
        </w:tc>
      </w:tr>
      <w:tr>
        <w:tblPrEx>
          <w:tblCellMar>
            <w:top w:w="0" w:type="dxa"/>
            <w:left w:w="0" w:type="dxa"/>
            <w:bottom w:w="0" w:type="dxa"/>
            <w:right w:w="0" w:type="dxa"/>
          </w:tblCellMar>
        </w:tblPrEx>
        <w:trPr>
          <w:trHeight w:val="13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8</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茂名荔枝优势产区现代农业产业园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根子镇、分界镇、泗水镇、谢鸡镇、金山街道、等</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围绕“大品牌、大科技、大企业、大产业、大融合”五大建设思路，加强品种改良、品质提升、精深加工、品牌塑造等能力</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2020-2021</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56300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25400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15900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省级现代农业产业园</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83</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岭南现代农业科学与技术广东省实验室茂名分中心建设项目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岭门镇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建成岭南现代农业科学与技术广东省实验室茂名分中心，总部选址在市民大道三期北侧（高新区健康产业城内，约50亩），中试示范推广基地选址在茂名市农业科技推广中心（岭门镇新华农场，100亩）内。</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180000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6"/>
                <w:rFonts w:hint="eastAsia" w:ascii="仿宋_GB2312" w:hAnsi="仿宋_GB2312" w:eastAsia="仿宋_GB2312" w:cs="仿宋_GB2312"/>
                <w:color w:val="auto"/>
                <w:sz w:val="22"/>
                <w:szCs w:val="22"/>
                <w:highlight w:val="none"/>
                <w:lang w:bidi="ar"/>
              </w:rPr>
              <w:t>2020</w:t>
            </w:r>
            <w:r>
              <w:rPr>
                <w:rStyle w:val="25"/>
                <w:rFonts w:hint="eastAsia" w:ascii="仿宋_GB2312" w:hAnsi="仿宋_GB2312" w:eastAsia="仿宋_GB2312" w:cs="仿宋_GB2312"/>
                <w:color w:val="auto"/>
                <w:highlight w:val="none"/>
                <w:lang w:bidi="ar"/>
              </w:rPr>
              <w:t>年已完成投资6000万元</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42</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茂名市茂南区农业开发整治项目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茂南区各乡镇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建设内容：排灌渠、田间道路、防护林、小河流治理、田间道路工程、生态环境整治、人居环境整治、路灯工程、农田水利工程、监控工程、标识标牌、线路迁改工程、农产品仓储物流保鲜等</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150000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150000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2020年已完成投资5000万元</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32</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茂名市茂南区公馆镇产业强镇</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公馆镇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建设内容：罗非鱼良种繁育基地以及配套设施设备、养殖场及配套设施设备、质量检测设施等。</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2020-2021</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2022</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1000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1022</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农业部产业强镇</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36</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2021年茂名市茂南区高标准农田建设项目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鳌头镇、公馆镇、金塘镇、羊角镇、镇盛镇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建设高标准农田2.1万亩，建设灌溉与排水、田间道路、耕地质量提升等工程。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6161.82</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1959</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4202.82</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电白区对虾产业园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rPr>
              <w:t>在建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南海街道、电海街道、七迳镇、博贺镇、岭门镇、沙院镇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rPr>
              <w:t>电白区对虾产业园按照“一核、两带、三区”的空间布局（“一核”为对虾全产业链创新驱动发展核心区。 “两带”，重点进行对虾健康养殖，打造沿海对虾健康养殖产业带；重点进行对虾加工升级改造，打造对虾加工产业带；形成对虾养殖带和对虾加工带“两带”。“三区”，重点进行对虾育种科技研发和良种扩繁及科普展示区、打造“对虾出口带动加工区”打造“对虾内销驱动加工区”）。进一步加大“电白对虾”区域共公共品牌的宣传和推广，打造“电白对虾”国家地理标志品牌。</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rPr>
              <w:t>2020-2021</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20027.7</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5000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10027.7</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rPr>
              <w:t>省级现代农业产业园</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37</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2021-2022年度茂名市电白区高标准农田建设项目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电白区相关镇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建设高标准农田5.34万亩，建设灌溉与排水、田间道路、耕地质量提升等工程。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12716.2</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color w:val="auto"/>
                <w:sz w:val="22"/>
                <w:szCs w:val="22"/>
                <w:highlight w:val="none"/>
              </w:rPr>
              <w:t>5368</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color w:val="auto"/>
                <w:sz w:val="22"/>
                <w:szCs w:val="22"/>
                <w:highlight w:val="none"/>
              </w:rPr>
              <w:t>7348.2</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rPr>
                <w:rFonts w:hint="eastAsia" w:hAnsi="仿宋_GB2312" w:cs="仿宋_GB2312"/>
                <w:highlight w:val="none"/>
              </w:rPr>
            </w:pPr>
            <w:r>
              <w:rPr>
                <w:rFonts w:hint="eastAsia" w:hAnsi="仿宋_GB2312" w:cs="仿宋_GB2312"/>
                <w:kern w:val="0"/>
                <w:sz w:val="22"/>
                <w:szCs w:val="22"/>
                <w:highlight w:val="none"/>
                <w:lang w:bidi="ar"/>
              </w:rPr>
              <w:t>农业产业类</w:t>
            </w:r>
          </w:p>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r>
              <w:rPr>
                <w:rFonts w:hint="eastAsia" w:hAnsi="仿宋_GB2312" w:cs="仿宋_GB2312"/>
                <w:sz w:val="22"/>
                <w:szCs w:val="22"/>
                <w:highlight w:val="none"/>
              </w:rPr>
              <w:t>2022年度项目投入总额以实际下达为准</w:t>
            </w:r>
          </w:p>
        </w:tc>
      </w:tr>
      <w:tr>
        <w:tblPrEx>
          <w:tblCellMar>
            <w:top w:w="0" w:type="dxa"/>
            <w:left w:w="0" w:type="dxa"/>
            <w:bottom w:w="0" w:type="dxa"/>
            <w:right w:w="0" w:type="dxa"/>
          </w:tblCellMar>
        </w:tblPrEx>
        <w:trPr>
          <w:trHeight w:val="18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电白区沙琅镇产业强镇</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在建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沙琅镇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一、沉香自动化深加工示范建设项目；二、超临界萃取沉香精油科技示范建设项目；三奇楠沉香育苗温室大棚建设项目；四、沉香基地基础设施强化建设项目；五、白木香叶茶加工建设项目。</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4000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1000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3000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2021年</w:t>
            </w:r>
            <w:r>
              <w:rPr>
                <w:rFonts w:hint="eastAsia" w:ascii="仿宋_GB2312" w:hAnsi="仿宋_GB2312" w:cs="仿宋_GB2312"/>
                <w:kern w:val="0"/>
                <w:sz w:val="22"/>
                <w:szCs w:val="22"/>
                <w:highlight w:val="none"/>
                <w:lang w:bidi="ar"/>
              </w:rPr>
              <w:t>农业部产业强镇</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78</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茂名粤西农副产品综合交易中心建设项目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对二期三期进行续建，最终建成总建筑面积一期32.4万平方米，二期35.9万平方米，三期40.4万平方米。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2014-2026</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360000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截至2020年完成140000万元</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14</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信宜市怀乡鸡产业园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东镇街道、镇隆镇、北界镇、水口镇和朱砂镇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建设规模：存栏量7100万只，出栏量5600万只。</w:t>
            </w:r>
          </w:p>
          <w:p>
            <w:pPr>
              <w:widowControl/>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建设内容：打造以企业为核心的“生产+加工+科技+营销”的现代农业全产业链集聚发展模式，布局规划有标准化养殖、科技双创、加工物流、农旅融合等功能区域，总体形成</w:t>
            </w:r>
            <w:r>
              <w:rPr>
                <w:rFonts w:hint="eastAsia" w:ascii="仿宋_GB2312" w:hAnsi="仿宋_GB2312" w:cs="仿宋_GB2312"/>
                <w:kern w:val="0"/>
                <w:sz w:val="22"/>
                <w:szCs w:val="22"/>
                <w:highlight w:val="none"/>
                <w:lang w:val="en" w:bidi="ar"/>
              </w:rPr>
              <w:t>“一心驱动、四区拓展、一带引领”的园区建设布局。“一心”即怀乡鸡产业发展核心区，“四区”即</w:t>
            </w:r>
            <w:r>
              <w:rPr>
                <w:rFonts w:hint="eastAsia" w:ascii="仿宋_GB2312" w:hAnsi="仿宋_GB2312" w:cs="仿宋_GB2312"/>
                <w:kern w:val="0"/>
                <w:sz w:val="22"/>
                <w:szCs w:val="22"/>
                <w:highlight w:val="none"/>
                <w:lang w:bidi="ar"/>
              </w:rPr>
              <w:t>怀乡鸡育种繁育区、</w:t>
            </w:r>
            <w:r>
              <w:rPr>
                <w:rFonts w:hint="eastAsia" w:ascii="仿宋_GB2312" w:hAnsi="仿宋_GB2312" w:cs="仿宋_GB2312"/>
                <w:kern w:val="0"/>
                <w:sz w:val="22"/>
                <w:szCs w:val="22"/>
                <w:highlight w:val="none"/>
                <w:lang w:val="en" w:bidi="ar"/>
              </w:rPr>
              <w:t>怀乡鸡绿色循环养殖示范区、</w:t>
            </w:r>
            <w:r>
              <w:rPr>
                <w:rFonts w:hint="eastAsia" w:ascii="仿宋_GB2312" w:hAnsi="仿宋_GB2312" w:cs="仿宋_GB2312"/>
                <w:kern w:val="0"/>
                <w:sz w:val="22"/>
                <w:szCs w:val="22"/>
                <w:highlight w:val="none"/>
                <w:lang w:bidi="ar"/>
              </w:rPr>
              <w:t>信宜怀乡鸡加工物流区、</w:t>
            </w:r>
            <w:r>
              <w:rPr>
                <w:rFonts w:hint="eastAsia" w:ascii="仿宋_GB2312" w:hAnsi="仿宋_GB2312" w:cs="仿宋_GB2312"/>
                <w:kern w:val="0"/>
                <w:sz w:val="22"/>
                <w:szCs w:val="22"/>
                <w:highlight w:val="none"/>
                <w:lang w:val="en" w:bidi="ar"/>
              </w:rPr>
              <w:t>休闲观光科普体验区，“一带”即怀乡鸡产业融合优化发展带。</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2021-2023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20230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5000</w:t>
            </w:r>
          </w:p>
        </w:tc>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10230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申报2021年省级现代农业产业园项目</w:t>
            </w:r>
          </w:p>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（已公示）</w:t>
            </w:r>
          </w:p>
        </w:tc>
      </w:tr>
      <w:tr>
        <w:tblPrEx>
          <w:tblCellMar>
            <w:top w:w="0" w:type="dxa"/>
            <w:left w:w="0" w:type="dxa"/>
            <w:bottom w:w="0" w:type="dxa"/>
            <w:right w:w="0" w:type="dxa"/>
          </w:tblCellMar>
        </w:tblPrEx>
        <w:trPr>
          <w:trHeight w:val="18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信宜市钱排镇产业强镇</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在建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钱排镇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一、示范性标准化三华李果园建设；二、三华李商品化加工建设；三、三华李果汁果酒精深加工建设；四、三华李农旅观光休闲建设；五、三华李品牌培育及产品营销提升；六、三华李产业发展科技支撑体系建设。</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1900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1000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900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2021年农业部产业强镇</w:t>
            </w:r>
          </w:p>
          <w:p>
            <w:pPr>
              <w:pStyle w:val="2"/>
              <w:ind w:left="0" w:leftChars="0" w:firstLine="0" w:firstLineChars="0"/>
              <w:jc w:val="center"/>
              <w:rPr>
                <w:rFonts w:hint="eastAsia" w:ascii="仿宋_GB2312" w:hAnsi="仿宋_GB2312" w:eastAsia="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63</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信宜市盈富公司区域性农产品产地仓储冷链物流设施建设项目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在</w:t>
            </w:r>
            <w:r>
              <w:rPr>
                <w:rFonts w:hint="eastAsia" w:ascii="仿宋_GB2312" w:hAnsi="仿宋_GB2312" w:cs="仿宋_GB2312"/>
                <w:kern w:val="0"/>
                <w:sz w:val="22"/>
                <w:szCs w:val="22"/>
                <w:highlight w:val="none"/>
                <w:lang w:bidi="ar"/>
              </w:rPr>
              <w:t>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信宜市镇隆德桥</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信宜市盈富公司区域性农产品产地仓储冷链物流设施，重点建设仓储、冷链物流设施，推动信宜市农产品冷链仓储物流水平。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2021-2025</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38</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2021-2022年度信宜市高标准农田建设项目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信宜市相关镇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建设8.03万亩高标准农田，建设灌溉与排水、田间道路、耕地质量提升等工程。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20609</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8529</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7980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color w:val="auto"/>
                <w:kern w:val="0"/>
                <w:sz w:val="22"/>
                <w:szCs w:val="22"/>
                <w:highlight w:val="none"/>
                <w:lang w:bidi="ar"/>
              </w:rPr>
              <w:t>4100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color w:val="auto"/>
                <w:sz w:val="22"/>
                <w:szCs w:val="22"/>
                <w:highlight w:val="none"/>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r>
              <w:rPr>
                <w:rFonts w:hint="eastAsia" w:hAnsi="仿宋_GB2312" w:cs="仿宋_GB2312"/>
                <w:sz w:val="22"/>
                <w:szCs w:val="22"/>
                <w:highlight w:val="none"/>
              </w:rPr>
              <w:t>2022年度项目投入总额以实际下达为准</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16</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高州市香蕉产业园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长坡镇、曹江镇、南塘镇、</w:t>
            </w:r>
            <w:r>
              <w:rPr>
                <w:rFonts w:hint="eastAsia" w:hAnsi="仿宋_GB2312" w:cs="仿宋_GB2312"/>
                <w:kern w:val="0"/>
                <w:sz w:val="22"/>
                <w:szCs w:val="22"/>
                <w:highlight w:val="none"/>
                <w:lang w:bidi="ar"/>
              </w:rPr>
              <w:t>平山</w:t>
            </w:r>
            <w:r>
              <w:rPr>
                <w:rFonts w:hint="eastAsia" w:ascii="仿宋_GB2312" w:hAnsi="仿宋_GB2312" w:cs="仿宋_GB2312"/>
                <w:kern w:val="0"/>
                <w:sz w:val="22"/>
                <w:szCs w:val="22"/>
                <w:highlight w:val="none"/>
                <w:lang w:bidi="ar"/>
              </w:rPr>
              <w:t>镇、山美街道</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建设规模：7.82万亩。</w:t>
            </w:r>
          </w:p>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以调结构、扩规模、抓龙头、创品牌、全链条、增效益为主攻方向，建设香蕉育苗示范基地，完善香蕉标准化种植基地，改造提升香蕉产品初加工和精深加工，提高冷链运输能力，建设香蕉产品购销中心，新增香蕉产业大数据平台，改造产业园基础设施，加大香蕉品牌宣传，进一步促进香蕉一二三产业融合，助力高州香蕉高质量发展。</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2021-202</w:t>
            </w:r>
            <w:r>
              <w:rPr>
                <w:rFonts w:hint="eastAsia" w:hAnsi="仿宋_GB2312" w:cs="仿宋_GB2312"/>
                <w:kern w:val="0"/>
                <w:sz w:val="22"/>
                <w:szCs w:val="22"/>
                <w:highlight w:val="none"/>
                <w:lang w:bidi="ar"/>
              </w:rPr>
              <w:t>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w:t>
            </w:r>
            <w:r>
              <w:rPr>
                <w:rFonts w:hint="eastAsia" w:hAnsi="仿宋_GB2312" w:cs="仿宋_GB2312"/>
                <w:kern w:val="0"/>
                <w:sz w:val="22"/>
                <w:szCs w:val="22"/>
                <w:highlight w:val="none"/>
                <w:lang w:bidi="ar"/>
              </w:rPr>
              <w:t>2254</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5000</w:t>
            </w:r>
          </w:p>
        </w:tc>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7096</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10158</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申报省级现代农业产业园项目</w:t>
            </w:r>
          </w:p>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（已公示）</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39</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2021-2022年度高州市高标准农田建设项目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高州市相关镇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建设7.88万亩的高标准农田，</w:t>
            </w:r>
            <w:r>
              <w:rPr>
                <w:rStyle w:val="24"/>
                <w:rFonts w:hint="eastAsia" w:ascii="仿宋_GB2312" w:hAnsi="仿宋_GB2312" w:eastAsia="仿宋_GB2312" w:cs="仿宋_GB2312"/>
                <w:color w:val="auto"/>
                <w:highlight w:val="none"/>
                <w:lang w:bidi="ar"/>
              </w:rPr>
              <w:t>建设灌溉与排水、田间道路、耕地质量提升等工程。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2021-2023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18167.8</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9901</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8266.8</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r>
              <w:rPr>
                <w:rFonts w:hint="eastAsia" w:hAnsi="仿宋_GB2312" w:cs="仿宋_GB2312"/>
                <w:sz w:val="22"/>
                <w:szCs w:val="22"/>
                <w:highlight w:val="none"/>
              </w:rPr>
              <w:t>2022年度项目投入总额以实际下达为准</w:t>
            </w:r>
          </w:p>
        </w:tc>
      </w:tr>
      <w:tr>
        <w:tblPrEx>
          <w:tblCellMar>
            <w:top w:w="0" w:type="dxa"/>
            <w:left w:w="0" w:type="dxa"/>
            <w:bottom w:w="0" w:type="dxa"/>
            <w:right w:w="0" w:type="dxa"/>
          </w:tblCellMar>
        </w:tblPrEx>
        <w:trPr>
          <w:trHeight w:val="102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25</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广东喜粮生态农业发展有限公司现代农业生态园项目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高州市石板镇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新建现代农业生态园建筑面积32550平方米，占地面积243668平方米，包括肉鸽饲养、水产养殖，农产品加工、药种植、生态观光等。</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2020-2025</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16000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16000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46</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高州市海源农业有限公司镇江镇年产25万头商品猪苗种养一体化项目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在</w:t>
            </w:r>
            <w:r>
              <w:rPr>
                <w:rFonts w:hint="eastAsia" w:ascii="仿宋_GB2312" w:hAnsi="仿宋_GB2312" w:cs="仿宋_GB2312"/>
                <w:kern w:val="0"/>
                <w:sz w:val="22"/>
                <w:szCs w:val="22"/>
                <w:highlight w:val="none"/>
                <w:lang w:bidi="ar"/>
              </w:rPr>
              <w:t>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高州市镇江镇日久冲村细骄岭</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建设占地15万平方米，建筑面积7万平方米，建设5条2500头母猪的生产线，有定位栏1万套，分娩床3500套，总存栏猪只4万头，年出栏猪苗27.5万头。配套建设粪污处理系统一套，供电及供水系统各一套，喷管系统及道路硬底化。</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2020-2021</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50</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高州温氏畜牧有限公司现代化种猪场建设项目（种猪一场）</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在</w:t>
            </w:r>
            <w:r>
              <w:rPr>
                <w:rFonts w:hint="eastAsia" w:ascii="仿宋_GB2312" w:hAnsi="仿宋_GB2312" w:cs="仿宋_GB2312"/>
                <w:kern w:val="0"/>
                <w:sz w:val="22"/>
                <w:szCs w:val="22"/>
                <w:highlight w:val="none"/>
                <w:lang w:bidi="ar"/>
              </w:rPr>
              <w:t>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高州石板镇板村村委会</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建设内容：4条2500头基础母猪的生产线，1条1000头基础母猪的扩繁线，配套建设办公室、宿舍、饭堂、仓库、防疫设施、环保处理设施。</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2020-2021</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16000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16000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51</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高州温氏畜牧有限公司现代化种猪场建设项目（种猪二场）</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在</w:t>
            </w:r>
            <w:r>
              <w:rPr>
                <w:rFonts w:hint="eastAsia" w:ascii="仿宋_GB2312" w:hAnsi="仿宋_GB2312" w:cs="仿宋_GB2312"/>
                <w:kern w:val="0"/>
                <w:sz w:val="22"/>
                <w:szCs w:val="22"/>
                <w:highlight w:val="none"/>
                <w:lang w:bidi="ar"/>
              </w:rPr>
              <w:t>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高州石板镇板村村委会</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建设内容：建设4条2500头基础母猪的生产线，1条1000头基础母猪的扩繁线，配套建设办公室、宿舍、饭堂、仓库、防疫设施、环保处理设施。</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2021-2022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16000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16000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54</w:t>
            </w:r>
          </w:p>
        </w:tc>
        <w:tc>
          <w:tcPr>
            <w:tcW w:w="94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高州市京基智农时代有限公司高州市生猪养殖项目</w:t>
            </w:r>
          </w:p>
        </w:tc>
        <w:tc>
          <w:tcPr>
            <w:tcW w:w="6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在</w:t>
            </w:r>
            <w:r>
              <w:rPr>
                <w:rFonts w:hint="eastAsia" w:ascii="仿宋_GB2312" w:hAnsi="仿宋_GB2312" w:cs="仿宋_GB2312"/>
                <w:kern w:val="0"/>
                <w:sz w:val="22"/>
                <w:szCs w:val="22"/>
                <w:highlight w:val="none"/>
                <w:lang w:bidi="ar"/>
              </w:rPr>
              <w:t>建</w:t>
            </w:r>
          </w:p>
        </w:tc>
        <w:tc>
          <w:tcPr>
            <w:tcW w:w="94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高州市荷花镇 大村村、高丰村、张家堡村</w:t>
            </w:r>
          </w:p>
        </w:tc>
        <w:tc>
          <w:tcPr>
            <w:tcW w:w="285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建设内容包括：占地面积1609043平方米，建筑总面积278552平方米，建 成后存栏母猪2.025万头，存栏育肥猪26万头，年出栏50万头。</w:t>
            </w:r>
          </w:p>
        </w:tc>
        <w:tc>
          <w:tcPr>
            <w:tcW w:w="118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7"/>
                <w:rFonts w:hint="eastAsia" w:ascii="仿宋_GB2312" w:hAnsi="仿宋_GB2312" w:eastAsia="仿宋_GB2312" w:cs="仿宋_GB2312"/>
                <w:color w:val="auto"/>
                <w:highlight w:val="none"/>
                <w:lang w:bidi="ar"/>
              </w:rPr>
              <w:t>2019-2021</w:t>
            </w:r>
          </w:p>
        </w:tc>
        <w:tc>
          <w:tcPr>
            <w:tcW w:w="99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100000</w:t>
            </w:r>
          </w:p>
        </w:tc>
        <w:tc>
          <w:tcPr>
            <w:tcW w:w="65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100000</w:t>
            </w:r>
          </w:p>
        </w:tc>
        <w:tc>
          <w:tcPr>
            <w:tcW w:w="128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55</w:t>
            </w:r>
          </w:p>
        </w:tc>
        <w:tc>
          <w:tcPr>
            <w:tcW w:w="9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高州市京基智农时代有限公司高州市生猪养殖粪污资源化利用项目</w:t>
            </w:r>
          </w:p>
        </w:tc>
        <w:tc>
          <w:tcPr>
            <w:tcW w:w="6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在</w:t>
            </w:r>
            <w:r>
              <w:rPr>
                <w:rFonts w:hint="eastAsia" w:ascii="仿宋_GB2312" w:hAnsi="仿宋_GB2312" w:cs="仿宋_GB2312"/>
                <w:kern w:val="0"/>
                <w:sz w:val="22"/>
                <w:szCs w:val="22"/>
                <w:highlight w:val="none"/>
                <w:lang w:bidi="ar"/>
              </w:rPr>
              <w:t>建</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高州市荷花镇大村村、高丰村、 张家堡村</w:t>
            </w:r>
          </w:p>
        </w:tc>
        <w:tc>
          <w:tcPr>
            <w:tcW w:w="28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建设京基智农时代有限公司生猪养殖粪污资源化利用，占地面积100005平方米，建筑总面积75290平方米，建成后年处理粪污10.95万吨，污水87.6万吨，处理臭气73000万立方米，生产有机肥8.76万吨。</w:t>
            </w:r>
          </w:p>
        </w:tc>
        <w:tc>
          <w:tcPr>
            <w:tcW w:w="11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2020-2021</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15000</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15000</w:t>
            </w:r>
          </w:p>
        </w:tc>
        <w:tc>
          <w:tcPr>
            <w:tcW w:w="12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59</w:t>
            </w:r>
          </w:p>
        </w:tc>
        <w:tc>
          <w:tcPr>
            <w:tcW w:w="9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高州市禽畜屠宰冷链加工产业基地建设项目（一期）</w:t>
            </w:r>
          </w:p>
        </w:tc>
        <w:tc>
          <w:tcPr>
            <w:tcW w:w="6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石鼓镇原茂名煤矿发电厂旧址</w:t>
            </w:r>
          </w:p>
        </w:tc>
        <w:tc>
          <w:tcPr>
            <w:tcW w:w="28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规划用地120亩，总建筑面积为42724平方米，设计屠宰生猪120万头、家禽1000万只、肉制品加工550吨，年生产鲜肉30000吨，冷鲜肉37000吨，冷冻肉20000吨，设计冷链物流量300吨/天，年储运量10万吨。</w:t>
            </w:r>
          </w:p>
        </w:tc>
        <w:tc>
          <w:tcPr>
            <w:tcW w:w="11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2020-2022</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24000</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24000</w:t>
            </w:r>
          </w:p>
        </w:tc>
        <w:tc>
          <w:tcPr>
            <w:tcW w:w="12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2020年已完成投资3000万元</w:t>
            </w:r>
          </w:p>
        </w:tc>
      </w:tr>
      <w:tr>
        <w:tblPrEx>
          <w:tblCellMar>
            <w:top w:w="0" w:type="dxa"/>
            <w:left w:w="0" w:type="dxa"/>
            <w:bottom w:w="0" w:type="dxa"/>
            <w:right w:w="0" w:type="dxa"/>
          </w:tblCellMar>
        </w:tblPrEx>
        <w:trPr>
          <w:trHeight w:val="601" w:hRule="atLeast"/>
        </w:trPr>
        <w:tc>
          <w:tcPr>
            <w:tcW w:w="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108</w:t>
            </w:r>
          </w:p>
        </w:tc>
        <w:tc>
          <w:tcPr>
            <w:tcW w:w="9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高州市大唐荔乡文化旅游区创建国家4A级旅游景区创建项目</w:t>
            </w:r>
          </w:p>
        </w:tc>
        <w:tc>
          <w:tcPr>
            <w:tcW w:w="6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高州市根子镇</w:t>
            </w:r>
          </w:p>
        </w:tc>
        <w:tc>
          <w:tcPr>
            <w:tcW w:w="28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整合根子镇文化旅游元素，加强基础设施建设，将大唐荔乡文化旅游区打造成国家4A级旅游景区。</w:t>
            </w:r>
          </w:p>
        </w:tc>
        <w:tc>
          <w:tcPr>
            <w:tcW w:w="11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2021-2025</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5000</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w:t>
            </w:r>
          </w:p>
        </w:tc>
        <w:tc>
          <w:tcPr>
            <w:tcW w:w="12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已作为2021年茂名市重点项目向上申报</w:t>
            </w:r>
          </w:p>
        </w:tc>
      </w:tr>
      <w:tr>
        <w:tblPrEx>
          <w:tblCellMar>
            <w:top w:w="0" w:type="dxa"/>
            <w:left w:w="0" w:type="dxa"/>
            <w:bottom w:w="0" w:type="dxa"/>
            <w:right w:w="0" w:type="dxa"/>
          </w:tblCellMar>
        </w:tblPrEx>
        <w:trPr>
          <w:trHeight w:val="1091" w:hRule="atLeast"/>
        </w:trPr>
        <w:tc>
          <w:tcPr>
            <w:tcW w:w="363"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95</w:t>
            </w:r>
          </w:p>
        </w:tc>
        <w:tc>
          <w:tcPr>
            <w:tcW w:w="948"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中国荔枝博览馆建设项目</w:t>
            </w:r>
          </w:p>
        </w:tc>
        <w:tc>
          <w:tcPr>
            <w:tcW w:w="61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续建</w:t>
            </w:r>
          </w:p>
        </w:tc>
        <w:tc>
          <w:tcPr>
            <w:tcW w:w="945"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高州市根子镇</w:t>
            </w:r>
          </w:p>
        </w:tc>
        <w:tc>
          <w:tcPr>
            <w:tcW w:w="285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占地2500平方米，建筑面积4127平方米，建成全世界最大的荔枝博览馆。</w:t>
            </w:r>
          </w:p>
        </w:tc>
        <w:tc>
          <w:tcPr>
            <w:tcW w:w="1185"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2019-2021</w:t>
            </w:r>
          </w:p>
        </w:tc>
        <w:tc>
          <w:tcPr>
            <w:tcW w:w="99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2300</w:t>
            </w:r>
          </w:p>
        </w:tc>
        <w:tc>
          <w:tcPr>
            <w:tcW w:w="658"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450</w:t>
            </w:r>
          </w:p>
        </w:tc>
        <w:tc>
          <w:tcPr>
            <w:tcW w:w="102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1850</w:t>
            </w:r>
          </w:p>
        </w:tc>
        <w:tc>
          <w:tcPr>
            <w:tcW w:w="80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280"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农业产业类-一二三产业融合类</w:t>
            </w:r>
          </w:p>
        </w:tc>
        <w:tc>
          <w:tcPr>
            <w:tcW w:w="1134" w:type="dxa"/>
            <w:tcBorders>
              <w:top w:val="single" w:color="auto" w:sz="4" w:space="0"/>
              <w:left w:val="single" w:color="auto" w:sz="4" w:space="0"/>
              <w:bottom w:val="nil"/>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2020年已完成投资2300万元</w:t>
            </w:r>
          </w:p>
        </w:tc>
      </w:tr>
      <w:tr>
        <w:tblPrEx>
          <w:tblCellMar>
            <w:top w:w="0" w:type="dxa"/>
            <w:left w:w="0" w:type="dxa"/>
            <w:bottom w:w="0" w:type="dxa"/>
            <w:right w:w="0" w:type="dxa"/>
          </w:tblCellMar>
        </w:tblPrEx>
        <w:trPr>
          <w:trHeight w:val="600" w:hRule="atLeast"/>
        </w:trPr>
        <w:tc>
          <w:tcPr>
            <w:tcW w:w="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茂名海大年产24万吨生物配合饲料生产项目</w:t>
            </w:r>
          </w:p>
        </w:tc>
        <w:tc>
          <w:tcPr>
            <w:tcW w:w="6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在建</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hAnsi="仿宋_GB2312" w:cs="仿宋_GB2312"/>
                <w:sz w:val="22"/>
                <w:szCs w:val="22"/>
                <w:highlight w:val="none"/>
              </w:rPr>
              <w:t>高州市</w:t>
            </w:r>
          </w:p>
        </w:tc>
        <w:tc>
          <w:tcPr>
            <w:tcW w:w="28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建设6条生物配合饲料生产线，年产可达24万吨生物配合饲料</w:t>
            </w:r>
          </w:p>
        </w:tc>
        <w:tc>
          <w:tcPr>
            <w:tcW w:w="11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2019-2022</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15000</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lang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lang w:bidi="ar"/>
              </w:rPr>
              <w:t>-</w:t>
            </w:r>
          </w:p>
        </w:tc>
        <w:tc>
          <w:tcPr>
            <w:tcW w:w="12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广东省鸿顺食品有限公司农产品骨干冷链物流基地项目</w:t>
            </w:r>
          </w:p>
        </w:tc>
        <w:tc>
          <w:tcPr>
            <w:tcW w:w="6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在建</w:t>
            </w:r>
          </w:p>
        </w:tc>
        <w:tc>
          <w:tcPr>
            <w:tcW w:w="94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茂名市高州市石鼓镇九罡开发区</w:t>
            </w:r>
          </w:p>
        </w:tc>
        <w:tc>
          <w:tcPr>
            <w:tcW w:w="285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屠宰车间、冷库、肉制品处理车间、水产品处理车间、果蔬处理车间、中央大厨房车间、包装车间、丝苗米大米加工厂、配套工程</w:t>
            </w:r>
          </w:p>
        </w:tc>
        <w:tc>
          <w:tcPr>
            <w:tcW w:w="118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2022年起</w:t>
            </w:r>
          </w:p>
        </w:tc>
        <w:tc>
          <w:tcPr>
            <w:tcW w:w="99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28000</w:t>
            </w:r>
          </w:p>
        </w:tc>
        <w:tc>
          <w:tcPr>
            <w:tcW w:w="65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lang w:bidi="ar"/>
              </w:rPr>
              <w:t>-</w:t>
            </w:r>
          </w:p>
        </w:tc>
        <w:tc>
          <w:tcPr>
            <w:tcW w:w="102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w:t>
            </w:r>
          </w:p>
        </w:tc>
        <w:tc>
          <w:tcPr>
            <w:tcW w:w="69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lang w:bidi="ar"/>
              </w:rPr>
              <w:t>-</w:t>
            </w:r>
          </w:p>
        </w:tc>
        <w:tc>
          <w:tcPr>
            <w:tcW w:w="128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sz w:val="22"/>
                <w:szCs w:val="22"/>
                <w:highlight w:val="none"/>
              </w:rPr>
            </w:pPr>
          </w:p>
        </w:tc>
      </w:tr>
      <w:tr>
        <w:tblPrEx>
          <w:tblCellMar>
            <w:top w:w="0" w:type="dxa"/>
            <w:left w:w="0" w:type="dxa"/>
            <w:bottom w:w="0" w:type="dxa"/>
            <w:right w:w="0" w:type="dxa"/>
          </w:tblCellMar>
        </w:tblPrEx>
        <w:trPr>
          <w:trHeight w:val="13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（丰盛）高州特色水果加工仓储综合项目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在建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高州市</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新增预冷操作冷库和低温储存1.4万立方米；购买荔枝鲜果生产线、荔枝烘干生产线、荔枝果浆生产线，以及相关配套设施。</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7500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p>
        </w:tc>
      </w:tr>
      <w:tr>
        <w:tblPrEx>
          <w:tblCellMar>
            <w:top w:w="0" w:type="dxa"/>
            <w:left w:w="0" w:type="dxa"/>
            <w:bottom w:w="0" w:type="dxa"/>
            <w:right w:w="0" w:type="dxa"/>
          </w:tblCellMar>
        </w:tblPrEx>
        <w:trPr>
          <w:trHeight w:val="13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6</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化州市化橘红国家现代农业产业园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化州市</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广东省茂名市化州市国家现代农业产业园以“一心一带两区三基地”的总体规划（“一心”为化州市博览中心；“一带”为“橘香万里”美丽乡村示范带；“两园”为产业融合示范核心区和化橘红科技创新示范区；“三基地”为化橘红高效标准化种植示范基地、化橘红精深加工示范基地和休闲农业示范基地），规划涉及6个镇，整合产业、科技、旅游、文化、资金等多方面优势资源，建设集生产、研发、物流贸易、电子商务、文化产业与休闲农业为一体的三产融合功能区</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2021-202</w:t>
            </w:r>
            <w:r>
              <w:rPr>
                <w:rFonts w:hint="eastAsia" w:hAnsi="仿宋_GB2312" w:cs="仿宋_GB2312"/>
                <w:kern w:val="0"/>
                <w:sz w:val="22"/>
                <w:szCs w:val="22"/>
                <w:highlight w:val="none"/>
                <w:lang w:bidi="ar"/>
              </w:rPr>
              <w:t>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195550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10000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32900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152650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国家现代农业产业园</w:t>
            </w:r>
          </w:p>
        </w:tc>
      </w:tr>
      <w:tr>
        <w:tblPrEx>
          <w:tblCellMar>
            <w:top w:w="0" w:type="dxa"/>
            <w:left w:w="0" w:type="dxa"/>
            <w:bottom w:w="0" w:type="dxa"/>
            <w:right w:w="0" w:type="dxa"/>
          </w:tblCellMar>
        </w:tblPrEx>
        <w:trPr>
          <w:trHeight w:val="13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hAnsi="仿宋_GB2312" w:cs="仿宋_GB2312"/>
                <w:kern w:val="0"/>
                <w:sz w:val="22"/>
                <w:szCs w:val="22"/>
                <w:highlight w:val="none"/>
                <w:lang w:bidi="ar"/>
              </w:rPr>
              <w:t>2021-2022年度化州市高标准农田建设项目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化州市相关镇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建设6.72万亩的高标准农田，</w:t>
            </w:r>
            <w:r>
              <w:rPr>
                <w:rStyle w:val="24"/>
                <w:rFonts w:hint="eastAsia" w:ascii="仿宋_GB2312" w:hAnsi="仿宋_GB2312" w:eastAsia="仿宋_GB2312" w:cs="仿宋_GB2312"/>
                <w:color w:val="auto"/>
                <w:highlight w:val="none"/>
                <w:lang w:bidi="ar"/>
              </w:rPr>
              <w:t>建设灌溉与排水、田间道路、耕地质量提升等工程。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18140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6415</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11725</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p>
        </w:tc>
      </w:tr>
      <w:tr>
        <w:tblPrEx>
          <w:tblCellMar>
            <w:top w:w="0" w:type="dxa"/>
            <w:left w:w="0" w:type="dxa"/>
            <w:bottom w:w="0" w:type="dxa"/>
            <w:right w:w="0" w:type="dxa"/>
          </w:tblCellMar>
        </w:tblPrEx>
        <w:trPr>
          <w:trHeight w:val="13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“一村一品”发展项目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化州市官桥镇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建设“一村一品”砂糖桔等农产品种植基地</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2020-2022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210" w:firstLineChars="100"/>
              <w:rPr>
                <w:rFonts w:hint="eastAsia" w:ascii="仿宋_GB2312" w:hAnsi="仿宋_GB2312" w:eastAsia="仿宋_GB2312" w:cs="仿宋_GB2312"/>
                <w:sz w:val="21"/>
                <w:highlight w:val="none"/>
              </w:rPr>
            </w:pPr>
          </w:p>
          <w:p>
            <w:pPr>
              <w:pStyle w:val="2"/>
              <w:ind w:left="0" w:leftChars="0" w:firstLine="210" w:firstLineChars="10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1"/>
                <w:highlight w:val="none"/>
              </w:rPr>
              <w:t>280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highlight w:val="none"/>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p>
        </w:tc>
      </w:tr>
      <w:tr>
        <w:tblPrEx>
          <w:tblCellMar>
            <w:top w:w="0" w:type="dxa"/>
            <w:left w:w="0" w:type="dxa"/>
            <w:bottom w:w="0" w:type="dxa"/>
            <w:right w:w="0" w:type="dxa"/>
          </w:tblCellMar>
        </w:tblPrEx>
        <w:trPr>
          <w:trHeight w:val="138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Fonts w:hint="eastAsia" w:hAnsi="仿宋_GB2312" w:cs="仿宋_GB2312"/>
                <w:sz w:val="22"/>
                <w:szCs w:val="22"/>
                <w:highlight w:val="none"/>
              </w:rPr>
              <w:t>茂名市正田种猪有限公司年出栏生猪 9.5 万头建设项目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在建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hAnsi="仿宋_GB2312" w:cs="仿宋_GB2312"/>
                <w:sz w:val="22"/>
                <w:szCs w:val="22"/>
                <w:highlight w:val="none"/>
              </w:rPr>
              <w:t>化州市新安镇曲径村委会下白藤村</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新建存栏母猪5000头，年出栏9.5万头生猪的养殖场。项目占地面积500多亩，建设标准化栏舍、员工生活配套设施，办公楼、实验室等，建设防疫洗消中心，生猪中转站，配套建设相应的环保设施等</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2020-2023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highlight w:val="none"/>
              </w:rPr>
            </w:pPr>
            <w:r>
              <w:rPr>
                <w:rFonts w:hint="eastAsia" w:hAnsi="仿宋_GB2312" w:cs="仿宋_GB2312"/>
                <w:sz w:val="22"/>
                <w:szCs w:val="22"/>
                <w:highlight w:val="none"/>
              </w:rPr>
              <w:t>33000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highlight w:val="none"/>
              </w:rPr>
            </w:pPr>
            <w:r>
              <w:rPr>
                <w:rFonts w:hint="eastAsia" w:hAnsi="仿宋_GB2312" w:cs="仿宋_GB2312"/>
                <w:kern w:val="0"/>
                <w:sz w:val="22"/>
                <w:szCs w:val="22"/>
                <w:highlight w:val="none"/>
                <w:lang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茂名市重点项目，省重点项目</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41</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2022年度茂名高新区七迳镇高标准农田建设项目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七迳镇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建设0.80万亩的高标准农田，</w:t>
            </w:r>
            <w:r>
              <w:rPr>
                <w:rStyle w:val="24"/>
                <w:rFonts w:hint="eastAsia" w:ascii="仿宋_GB2312" w:hAnsi="仿宋_GB2312" w:eastAsia="仿宋_GB2312" w:cs="仿宋_GB2312"/>
                <w:color w:val="auto"/>
                <w:highlight w:val="none"/>
                <w:lang w:bidi="ar"/>
              </w:rPr>
              <w:t>建设灌溉与排水、田间道路、耕地质量提升等工程。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2022-2023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2036</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1229</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807</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sz w:val="22"/>
                <w:szCs w:val="22"/>
                <w:highlight w:val="none"/>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r>
              <w:rPr>
                <w:rFonts w:hint="eastAsia" w:hAnsi="仿宋_GB2312" w:cs="仿宋_GB2312"/>
                <w:sz w:val="22"/>
                <w:szCs w:val="22"/>
                <w:highlight w:val="none"/>
              </w:rPr>
              <w:t>项目投入总额以实际下达为准</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3"/>
              </w:numPr>
              <w:jc w:val="center"/>
              <w:textAlignment w:val="center"/>
              <w:rPr>
                <w:rFonts w:hint="eastAsia" w:ascii="仿宋_GB2312"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2022年度茂名滨海新区高标准农田建设项目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新建</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电城镇、博贺镇</w:t>
            </w:r>
          </w:p>
        </w:tc>
        <w:tc>
          <w:tcPr>
            <w:tcW w:w="2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建设0.8万亩的高标准农田，</w:t>
            </w:r>
            <w:r>
              <w:rPr>
                <w:rStyle w:val="24"/>
                <w:rFonts w:hint="eastAsia" w:ascii="仿宋_GB2312" w:hAnsi="仿宋_GB2312" w:eastAsia="仿宋_GB2312" w:cs="仿宋_GB2312"/>
                <w:color w:val="auto"/>
                <w:highlight w:val="none"/>
                <w:lang w:bidi="ar"/>
              </w:rPr>
              <w:t>建设灌溉与排水、田间道路、耕地质量提升等工程。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2022-2023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2000</w:t>
            </w:r>
          </w:p>
        </w:tc>
        <w:tc>
          <w:tcPr>
            <w:tcW w:w="6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1193</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807</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项目投入总额以实际下达为准</w:t>
            </w:r>
          </w:p>
        </w:tc>
      </w:tr>
    </w:tbl>
    <w:p>
      <w:pPr>
        <w:pStyle w:val="4"/>
        <w:ind w:left="0" w:firstLine="0" w:firstLineChars="0"/>
        <w:rPr>
          <w:rFonts w:hint="eastAsia" w:ascii="黑体" w:hAnsi="黑体" w:cs="黑体"/>
          <w:b w:val="0"/>
          <w:bCs w:val="0"/>
          <w:kern w:val="2"/>
          <w:sz w:val="32"/>
          <w:szCs w:val="32"/>
          <w:highlight w:val="none"/>
        </w:rPr>
        <w:sectPr>
          <w:pgSz w:w="16838" w:h="11906" w:orient="landscape"/>
          <w:pgMar w:top="1800" w:right="1440" w:bottom="1800" w:left="1440" w:header="851" w:footer="992" w:gutter="0"/>
          <w:pgNumType w:fmt="numberInDash"/>
          <w:cols w:space="720" w:num="1"/>
          <w:docGrid w:type="lines" w:linePitch="312" w:charSpace="0"/>
        </w:sectPr>
      </w:pPr>
      <w:bookmarkStart w:id="2060" w:name="_Toc1011"/>
      <w:bookmarkStart w:id="2061" w:name="_Toc23917"/>
      <w:bookmarkStart w:id="2062" w:name="_Toc24379"/>
      <w:bookmarkStart w:id="2063" w:name="_Toc655"/>
      <w:bookmarkStart w:id="2064" w:name="_Toc12983"/>
      <w:bookmarkStart w:id="2065" w:name="_Toc7523"/>
      <w:bookmarkStart w:id="2066" w:name="_Toc866"/>
      <w:bookmarkStart w:id="2067" w:name="_Toc18559"/>
      <w:bookmarkStart w:id="2068" w:name="_Toc8960"/>
      <w:bookmarkStart w:id="2069" w:name="_Toc6159"/>
    </w:p>
    <w:p>
      <w:pPr>
        <w:ind w:left="0" w:firstLine="0" w:firstLineChars="0"/>
        <w:jc w:val="left"/>
        <w:rPr>
          <w:rFonts w:hint="eastAsia" w:ascii="方正小标宋简体" w:hAnsi="方正小标宋简体" w:eastAsia="方正小标宋简体" w:cs="方正小标宋简体"/>
          <w:b w:val="0"/>
          <w:bCs w:val="0"/>
          <w:kern w:val="2"/>
          <w:sz w:val="44"/>
          <w:highlight w:val="none"/>
        </w:rPr>
      </w:pPr>
      <w:r>
        <w:rPr>
          <w:rFonts w:hint="eastAsia" w:ascii="黑体" w:hAnsi="黑体" w:eastAsia="黑体" w:cs="黑体"/>
          <w:b w:val="0"/>
          <w:bCs w:val="0"/>
          <w:kern w:val="2"/>
          <w:sz w:val="32"/>
          <w:szCs w:val="32"/>
          <w:highlight w:val="none"/>
        </w:rPr>
        <w:t>附件2</w:t>
      </w:r>
      <w:bookmarkEnd w:id="2060"/>
      <w:bookmarkEnd w:id="2061"/>
      <w:bookmarkEnd w:id="2062"/>
      <w:bookmarkEnd w:id="2063"/>
      <w:bookmarkEnd w:id="2064"/>
      <w:bookmarkEnd w:id="2065"/>
      <w:bookmarkEnd w:id="2066"/>
      <w:bookmarkEnd w:id="2067"/>
      <w:bookmarkEnd w:id="2068"/>
      <w:bookmarkStart w:id="2070" w:name="_Toc14601"/>
      <w:bookmarkStart w:id="2071" w:name="_Toc20707"/>
      <w:bookmarkStart w:id="2072" w:name="_Toc14478"/>
      <w:bookmarkStart w:id="2073" w:name="_Toc656"/>
      <w:bookmarkStart w:id="2074" w:name="_Toc14514"/>
      <w:bookmarkStart w:id="2075" w:name="_Toc15293"/>
      <w:bookmarkStart w:id="2076" w:name="_Toc7731"/>
      <w:bookmarkStart w:id="2077" w:name="_Toc28431"/>
      <w:bookmarkStart w:id="2078" w:name="_Toc1541"/>
      <w:r>
        <w:rPr>
          <w:rFonts w:hint="eastAsia" w:ascii="方正小标宋简体" w:hAnsi="方正小标宋简体" w:eastAsia="方正小标宋简体" w:cs="方正小标宋简体"/>
          <w:b w:val="0"/>
          <w:bCs w:val="0"/>
          <w:kern w:val="2"/>
          <w:sz w:val="44"/>
          <w:highlight w:val="none"/>
        </w:rPr>
        <w:br w:type="textWrapping"/>
      </w:r>
      <w:r>
        <w:rPr>
          <w:rFonts w:hint="eastAsia" w:ascii="方正小标宋简体" w:hAnsi="方正小标宋简体" w:eastAsia="方正小标宋简体" w:cs="方正小标宋简体"/>
          <w:b w:val="0"/>
          <w:bCs w:val="0"/>
          <w:kern w:val="2"/>
          <w:sz w:val="44"/>
          <w:highlight w:val="none"/>
          <w:lang w:val="en-US" w:eastAsia="zh-CN"/>
        </w:rPr>
        <w:t xml:space="preserve">          </w:t>
      </w:r>
      <w:r>
        <w:rPr>
          <w:rFonts w:hint="eastAsia" w:ascii="方正小标宋简体" w:hAnsi="方正小标宋简体" w:eastAsia="方正小标宋简体" w:cs="方正小标宋简体"/>
          <w:b w:val="0"/>
          <w:bCs w:val="0"/>
          <w:kern w:val="2"/>
          <w:sz w:val="44"/>
          <w:highlight w:val="none"/>
        </w:rPr>
        <w:t>茂名市农业农村现代化“十四五”规划储备重大项目</w:t>
      </w:r>
      <w:bookmarkEnd w:id="2069"/>
      <w:bookmarkEnd w:id="2070"/>
      <w:bookmarkEnd w:id="2071"/>
      <w:bookmarkEnd w:id="2072"/>
      <w:bookmarkEnd w:id="2073"/>
      <w:bookmarkEnd w:id="2074"/>
      <w:bookmarkEnd w:id="2075"/>
      <w:bookmarkEnd w:id="2076"/>
      <w:bookmarkEnd w:id="2077"/>
      <w:bookmarkEnd w:id="2078"/>
    </w:p>
    <w:tbl>
      <w:tblPr>
        <w:tblStyle w:val="14"/>
        <w:tblW w:w="0" w:type="auto"/>
        <w:tblInd w:w="0" w:type="dxa"/>
        <w:tblLayout w:type="fixed"/>
        <w:tblCellMar>
          <w:top w:w="0" w:type="dxa"/>
          <w:left w:w="0" w:type="dxa"/>
          <w:bottom w:w="0" w:type="dxa"/>
          <w:right w:w="0" w:type="dxa"/>
        </w:tblCellMar>
      </w:tblPr>
      <w:tblGrid>
        <w:gridCol w:w="363"/>
        <w:gridCol w:w="948"/>
        <w:gridCol w:w="610"/>
        <w:gridCol w:w="732"/>
        <w:gridCol w:w="3063"/>
        <w:gridCol w:w="1185"/>
        <w:gridCol w:w="1092"/>
        <w:gridCol w:w="795"/>
        <w:gridCol w:w="869"/>
        <w:gridCol w:w="602"/>
        <w:gridCol w:w="690"/>
        <w:gridCol w:w="800"/>
        <w:gridCol w:w="1280"/>
        <w:gridCol w:w="1134"/>
      </w:tblGrid>
      <w:tr>
        <w:tblPrEx>
          <w:tblCellMar>
            <w:top w:w="0" w:type="dxa"/>
            <w:left w:w="0" w:type="dxa"/>
            <w:bottom w:w="0" w:type="dxa"/>
            <w:right w:w="0" w:type="dxa"/>
          </w:tblCellMar>
        </w:tblPrEx>
        <w:trPr>
          <w:trHeight w:val="330" w:hRule="atLeast"/>
          <w:tblHeader/>
        </w:trPr>
        <w:tc>
          <w:tcPr>
            <w:tcW w:w="3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hint="eastAsia" w:eastAsia="黑体"/>
                <w:kern w:val="0"/>
                <w:sz w:val="22"/>
                <w:szCs w:val="22"/>
                <w:highlight w:val="none"/>
                <w:lang w:bidi="ar"/>
              </w:rPr>
              <w:t>序号</w:t>
            </w:r>
          </w:p>
        </w:tc>
        <w:tc>
          <w:tcPr>
            <w:tcW w:w="9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项 目</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名 称</w:t>
            </w:r>
          </w:p>
        </w:tc>
        <w:tc>
          <w:tcPr>
            <w:tcW w:w="6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建设性质</w:t>
            </w:r>
          </w:p>
        </w:tc>
        <w:tc>
          <w:tcPr>
            <w:tcW w:w="7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建设</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地点</w:t>
            </w:r>
          </w:p>
        </w:tc>
        <w:tc>
          <w:tcPr>
            <w:tcW w:w="30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建设规模及主要内容</w:t>
            </w:r>
          </w:p>
        </w:tc>
        <w:tc>
          <w:tcPr>
            <w:tcW w:w="11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建设</w:t>
            </w:r>
          </w:p>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起止</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年限</w:t>
            </w:r>
          </w:p>
        </w:tc>
        <w:tc>
          <w:tcPr>
            <w:tcW w:w="109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总投资</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(万元)</w:t>
            </w:r>
          </w:p>
        </w:tc>
        <w:tc>
          <w:tcPr>
            <w:tcW w:w="375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资金来源（万元）</w:t>
            </w:r>
          </w:p>
        </w:tc>
        <w:tc>
          <w:tcPr>
            <w:tcW w:w="12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kern w:val="0"/>
                <w:sz w:val="22"/>
                <w:szCs w:val="22"/>
                <w:highlight w:val="none"/>
                <w:lang w:bidi="ar"/>
              </w:rPr>
            </w:pPr>
            <w:r>
              <w:rPr>
                <w:rFonts w:ascii="Times New Roman" w:hAnsi="Times New Roman" w:eastAsia="黑体"/>
                <w:kern w:val="0"/>
                <w:sz w:val="22"/>
                <w:szCs w:val="22"/>
                <w:highlight w:val="none"/>
                <w:lang w:bidi="ar"/>
              </w:rPr>
              <w:t>项目</w:t>
            </w:r>
          </w:p>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类别</w:t>
            </w:r>
          </w:p>
        </w:tc>
        <w:tc>
          <w:tcPr>
            <w:tcW w:w="11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备注</w:t>
            </w:r>
          </w:p>
        </w:tc>
      </w:tr>
      <w:tr>
        <w:tblPrEx>
          <w:tblCellMar>
            <w:top w:w="0" w:type="dxa"/>
            <w:left w:w="0" w:type="dxa"/>
            <w:bottom w:w="0" w:type="dxa"/>
            <w:right w:w="0" w:type="dxa"/>
          </w:tblCellMar>
        </w:tblPrEx>
        <w:trPr>
          <w:trHeight w:val="570" w:hRule="atLeast"/>
          <w:tblHeader/>
        </w:trPr>
        <w:tc>
          <w:tcPr>
            <w:tcW w:w="3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9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30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Times New Roman" w:hAnsi="Times New Roman" w:eastAsia="黑体"/>
                <w:sz w:val="22"/>
                <w:szCs w:val="22"/>
                <w:highlight w:val="none"/>
              </w:rPr>
            </w:pPr>
          </w:p>
        </w:tc>
        <w:tc>
          <w:tcPr>
            <w:tcW w:w="11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10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中央</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省</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市</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县</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eastAsia="黑体"/>
                <w:sz w:val="22"/>
                <w:szCs w:val="22"/>
                <w:highlight w:val="none"/>
              </w:rPr>
            </w:pPr>
            <w:r>
              <w:rPr>
                <w:rFonts w:ascii="Times New Roman" w:hAnsi="Times New Roman" w:eastAsia="黑体"/>
                <w:kern w:val="0"/>
                <w:sz w:val="22"/>
                <w:szCs w:val="22"/>
                <w:highlight w:val="none"/>
                <w:lang w:bidi="ar"/>
              </w:rPr>
              <w:t>其他</w:t>
            </w:r>
          </w:p>
        </w:tc>
        <w:tc>
          <w:tcPr>
            <w:tcW w:w="12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Times New Roman" w:hAnsi="Times New Roman" w:eastAsia="黑体"/>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1</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广东省茂名市冷链物流产业园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七迳镇、电城镇、博贺镇、水东街道等</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利用我市各类冷库超1200座，拥有粤西农批等大型农贸市场、水东港等优势冷链物流资源，围绕农业服务功能园化，聚焦公共服务平台，从完善田头冷库、加强物流配套、智能化等多方面升级打造茂名市冷链物流产业园。</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2023-2024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省级现代农业产业园</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广东省茂名市生猪跨县集群产业园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林头镇、宝光街道、石鼓镇、荷花镇等</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在我市拥有全省第一生猪出栏量的规模，拥有70家饲料企业等优势资源的基础上，茂名市生猪优势产区产业园将按照“大品牌、大科技、大企业、大产业、大融合”五大建设思路，跨电白区、高州市、化州市、信宜市，重点实施种猪繁育、商品肉猪、屠宰加工、废弃物资源化、支撑体系建设等等工程，打造生猪优势产业带。</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2022-2023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省级现代农业产业园</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3</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广东省茂名市罗非鱼跨县集群产业园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公馆镇、镇江镇、石岭仔岭街道等</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在原有的罗非鱼省级特色现代农业产业园基础上，茂名市罗非鱼优势产区产业园将按照“大品牌、大科技、大企业、大产业、大融合”五大建设思路，跨茂南区、高州市、化州市，围绕改良品种、提升品质、精深加工、打响品牌等建设方向，开展高品质罗非鱼养殖，提供优质罗非鱼原料进行切片等精深加工，形成种苗-养殖-加工-销售产业优势聚集园区，打造罗非鱼优势产业带。</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2023-2025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省级现代农业产业园</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4</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广东省茂名市龙眼跨县集群产业园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镇江镇、沙田镇、荷塘镇、荷花镇等</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在原有的龙眼省级特色现代农业产业园基础上，茂名市龙眼优势产区产业园将按照“大品牌、大科技、大企业、大产业、大融合”五大建设思路，跨高州市、化州市，围绕改良品种、提升品质、精深加工、打响品牌等建设方向，打造龙眼优势产业带。</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2023-2025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省级现代农业产业园</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茂名市生猪优势特色产业集群</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茂名市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一、生猪优势特色标准化生产基地建设；二、生猪农产品加工流通营销；三、健全农业产业经营体系；四、先进要素集聚；五、建立健全利益联结机制</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2023-2025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农业部财政部优势特色产业集群项目</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6</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茂名市对虾优势特色产业集群</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茂名市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一、对虾优势特色标准化生产基地建设；二、农产品加工流通营销；三、健全农业产业经营体系；四、先进要素集聚；五、建立健全利益联结机制</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2024-2026</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农业部财政部优势特色产业集群项目</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茂名市现代种业提升水稻种子保障能力提高项目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茂名市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支持种质资源保护、水稻育种创新、测试评价和制（繁）种等种业关键环节能力提升项目建设</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Style w:val="24"/>
                <w:rFonts w:hint="eastAsia" w:ascii="仿宋_GB2312" w:hAnsi="仿宋_GB2312" w:eastAsia="仿宋_GB2312" w:cs="仿宋_GB2312"/>
                <w:color w:val="auto"/>
                <w:highlight w:val="none"/>
              </w:rPr>
              <w:t>农业产业类-种业创新类项目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10</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全国休闲农业与乡村旅游示范点创建项目（根子镇）</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根子镇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加强根子镇农业农村基础设施，加强休闲农业示范点打造，提升乡村旅游接待能力体系建设，建成全国休闲农业和乡村旅游示范点。</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2023-2025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7500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7500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农业产业类-一二三产业融合</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11</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2023-2025年度茂名市高标准农田建设项目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全市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新增建设高标准农田7万亩，实施灌溉与排水、田间道路、耕地质量提升等工程。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2023-2025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color w:val="auto"/>
                <w:kern w:val="0"/>
                <w:sz w:val="22"/>
                <w:szCs w:val="22"/>
                <w:highlight w:val="none"/>
                <w:lang w:bidi="ar"/>
              </w:rPr>
              <w:t>21000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color w:val="auto"/>
                <w:kern w:val="0"/>
                <w:sz w:val="22"/>
                <w:szCs w:val="22"/>
                <w:highlight w:val="none"/>
                <w:lang w:bidi="ar"/>
              </w:rPr>
              <w:t>7000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color w:val="auto"/>
                <w:kern w:val="0"/>
                <w:sz w:val="22"/>
                <w:szCs w:val="22"/>
                <w:highlight w:val="none"/>
                <w:lang w:bidi="ar"/>
              </w:rPr>
              <w:t>14000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hAnsi="仿宋_GB2312" w:cs="仿宋_GB2312"/>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r>
              <w:rPr>
                <w:rFonts w:hint="eastAsia" w:hAnsi="仿宋_GB2312" w:cs="仿宋_GB2312"/>
                <w:sz w:val="22"/>
                <w:szCs w:val="22"/>
                <w:highlight w:val="none"/>
              </w:rPr>
              <w:t>以省下达任务为准</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12</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2023-2025年度</w:t>
            </w:r>
            <w:r>
              <w:rPr>
                <w:rFonts w:hint="eastAsia" w:hAnsi="仿宋_GB2312" w:cs="仿宋_GB2312"/>
                <w:sz w:val="22"/>
                <w:szCs w:val="22"/>
                <w:highlight w:val="none"/>
                <w:lang w:bidi="ar"/>
              </w:rPr>
              <w:t>高标准农田建设改造提升项目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全市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建设高标准农田改造提升项目23万亩，根据“缺什么、补什么”的原则，在已建设高标项目的范围内改造提升建设内容。</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2023-2025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color w:val="auto"/>
                <w:kern w:val="0"/>
                <w:sz w:val="22"/>
                <w:szCs w:val="22"/>
                <w:highlight w:val="none"/>
                <w:lang w:bidi="ar"/>
              </w:rPr>
              <w:t>69000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color w:val="auto"/>
                <w:kern w:val="0"/>
                <w:sz w:val="22"/>
                <w:szCs w:val="22"/>
                <w:highlight w:val="none"/>
                <w:lang w:bidi="ar"/>
              </w:rPr>
              <w:t>23000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color w:val="auto"/>
                <w:kern w:val="0"/>
                <w:sz w:val="22"/>
                <w:szCs w:val="22"/>
                <w:highlight w:val="none"/>
                <w:lang w:bidi="ar"/>
              </w:rPr>
              <w:t>46000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hAnsi="仿宋_GB2312" w:cs="仿宋_GB2312"/>
                <w:sz w:val="22"/>
                <w:szCs w:val="22"/>
                <w:highlight w:val="none"/>
                <w:lang w:bidi="ar"/>
              </w:rPr>
              <w:t>农业产业类-农田建设类项目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r>
              <w:rPr>
                <w:rFonts w:hint="eastAsia" w:hAnsi="仿宋_GB2312" w:cs="仿宋_GB2312"/>
                <w:sz w:val="22"/>
                <w:szCs w:val="22"/>
                <w:highlight w:val="none"/>
              </w:rPr>
              <w:t>以省下达任务为准</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茂名市供销公共型农产品冷链物流骨干网</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茂名市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构建上接国家、广东供销冷链物流网络，下接县级以下冷链物流网络的大型农产品冷链物流骨干网。其中，分别在高州、化州、信宜、茂南、电白建设集冷冻、冷藏、保鲜、加工、交易、电商于一体的大型综合冷链物流基地（中心、园区）5个，总储藏量50000吨，同时配套建设农产品及水产品加工车间、交易市场若干个，具备农产品初加工、储存、分拣包装、分拨集散、信息处理、交易等功能；建设库容总量100吨乡镇田头仓储冷链物流设施、村级仓储保鲜设施；购置冷藏运输配送车辆80辆，发展农产品干线运输和城市配送；建设若干配套设施等。</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2022-2023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color w:val="auto"/>
                <w:kern w:val="0"/>
                <w:sz w:val="22"/>
                <w:szCs w:val="22"/>
                <w:highlight w:val="none"/>
                <w:lang w:bidi="ar"/>
              </w:rPr>
            </w:pPr>
            <w:r>
              <w:rPr>
                <w:rFonts w:hint="eastAsia" w:ascii="仿宋_GB2312" w:hAnsi="仿宋_GB2312" w:cs="仿宋_GB2312"/>
                <w:color w:val="auto"/>
                <w:kern w:val="0"/>
                <w:sz w:val="22"/>
                <w:szCs w:val="22"/>
                <w:highlight w:val="none"/>
                <w:lang w:bidi="ar"/>
              </w:rPr>
              <w:t>15000（十四五期间预计投资数）</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color w:val="auto"/>
                <w:kern w:val="0"/>
                <w:sz w:val="22"/>
                <w:szCs w:val="22"/>
                <w:highlight w:val="none"/>
                <w:lang w:bidi="ar"/>
              </w:rPr>
            </w:pPr>
            <w:r>
              <w:rPr>
                <w:rFonts w:hint="eastAsia" w:ascii="仿宋_GB2312" w:hAnsi="仿宋_GB2312" w:cs="仿宋_GB2312"/>
                <w:color w:val="auto"/>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color w:val="auto"/>
                <w:kern w:val="0"/>
                <w:sz w:val="22"/>
                <w:szCs w:val="22"/>
                <w:highlight w:val="none"/>
                <w:lang w:bidi="ar"/>
              </w:rPr>
            </w:pPr>
            <w:r>
              <w:rPr>
                <w:rFonts w:hint="eastAsia" w:ascii="仿宋_GB2312" w:hAnsi="仿宋_GB2312" w:cs="仿宋_GB2312"/>
                <w:color w:val="auto"/>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茂南区数字农业科技园建设项目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茂南区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建成茂南区数字农业科园，重点对茂南区农业数字化建设，最终实现设施工程化，管理数字化，废弃物尾水资源化，加工高值化。</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2021-2024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红火蚁疫情监测及防控项目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茂南区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对茂南区全区红火蚁疫情进行监测、培训与防控。</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2021.01-2021.12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320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320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茂南区农业产业化联合体建设项目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公馆镇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支持农业生产基地升级、农副产品加工、三产融合，鼓励新型经营主体创建农业产业化联合体。</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9000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农业产业类-新型经营主体提升类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电白区稻米产业园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电海街道、霞洞镇、小良镇、林头镇、马踏镇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hAnsi="仿宋_GB2312" w:cs="仿宋_GB2312"/>
                <w:highlight w:val="none"/>
              </w:rPr>
              <w:t>建</w:t>
            </w:r>
            <w:r>
              <w:rPr>
                <w:rStyle w:val="24"/>
                <w:rFonts w:hint="eastAsia" w:ascii="仿宋_GB2312" w:hAnsi="仿宋_GB2312" w:eastAsia="仿宋_GB2312" w:cs="仿宋_GB2312"/>
                <w:color w:val="auto"/>
                <w:highlight w:val="none"/>
                <w:lang w:bidi="ar"/>
              </w:rPr>
              <w:t>设规模：20.84万亩。</w:t>
            </w:r>
          </w:p>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重点打造中轻枫泰特色优质大米加工基地、茂新稻米食品加工项目、金砂塘优质大米加工基地、冠美稻谷烘干加工储藏一体化示范基地、帝富粮食冷链物流基地、联农带农水稻机械化烘干社会服务中心等项目。通过产业融合、产业聚集，将资本、技术以及各种资源要素跨界集约化配置，把水稻种植、加工销售、仓储物流、食品加工等有机整合在一起，使一二三产业之间紧密相连、协同发展。</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w:t>
            </w:r>
            <w:r>
              <w:rPr>
                <w:rFonts w:hint="eastAsia" w:hAnsi="仿宋_GB2312" w:cs="仿宋_GB2312"/>
                <w:kern w:val="0"/>
                <w:sz w:val="22"/>
                <w:szCs w:val="22"/>
                <w:highlight w:val="none"/>
                <w:lang w:bidi="ar"/>
              </w:rPr>
              <w:t>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12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省级现代农业产业园</w:t>
            </w:r>
          </w:p>
          <w:p>
            <w:pPr>
              <w:pStyle w:val="2"/>
              <w:ind w:left="0" w:leftChars="0" w:firstLine="0" w:firstLineChars="0"/>
              <w:jc w:val="center"/>
              <w:rPr>
                <w:rFonts w:hint="eastAsia" w:ascii="仿宋_GB2312" w:hAnsi="仿宋_GB2312" w:eastAsia="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水东渔港（二级）工程建设项目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电白区南海街道办</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建设内容：新建长383.8m的码头（包括14各个卸鱼泊位、1个渔政船泊位和1个休闲渔船泊位，年吞吐量为2.3万吨），97m引桥（共3座），298m护岸，港池航道疏浚36.84万㎥，通讯导航设施1项及水电等配套工程。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sz w:val="22"/>
                <w:szCs w:val="22"/>
                <w:highlight w:val="none"/>
              </w:rPr>
              <w:t>茂名市大放鸡岛海域国家级海洋牧场示范区人工鱼礁建设</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电白区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rPr>
              <w:t>建设人工鱼礁区1个，覆盖海域面积1.5km</w:t>
            </w:r>
            <w:r>
              <w:rPr>
                <w:rStyle w:val="24"/>
                <w:rFonts w:hint="eastAsia" w:ascii="仿宋_GB2312" w:hAnsi="仿宋_GB2312" w:eastAsia="仿宋_GB2312" w:cs="仿宋_GB2312"/>
                <w:color w:val="auto"/>
                <w:highlight w:val="none"/>
                <w:vertAlign w:val="superscript"/>
              </w:rPr>
              <w:t>2</w:t>
            </w:r>
            <w:r>
              <w:rPr>
                <w:rStyle w:val="24"/>
                <w:rFonts w:hint="eastAsia" w:ascii="仿宋_GB2312" w:hAnsi="仿宋_GB2312" w:eastAsia="仿宋_GB2312" w:cs="仿宋_GB2312"/>
                <w:color w:val="auto"/>
                <w:highlight w:val="none"/>
              </w:rPr>
              <w:t>，建造投放礁体总空方量59904m</w:t>
            </w:r>
            <w:r>
              <w:rPr>
                <w:rStyle w:val="24"/>
                <w:rFonts w:hint="eastAsia" w:ascii="仿宋_GB2312" w:hAnsi="仿宋_GB2312" w:eastAsia="仿宋_GB2312" w:cs="仿宋_GB2312"/>
                <w:color w:val="auto"/>
                <w:highlight w:val="none"/>
                <w:vertAlign w:val="superscript"/>
              </w:rPr>
              <w:t>3</w:t>
            </w:r>
            <w:r>
              <w:rPr>
                <w:rStyle w:val="24"/>
                <w:rFonts w:hint="eastAsia" w:ascii="仿宋_GB2312" w:hAnsi="仿宋_GB2312" w:eastAsia="仿宋_GB2312" w:cs="仿宋_GB2312"/>
                <w:color w:val="auto"/>
                <w:highlight w:val="none"/>
              </w:rPr>
              <w:t>，建设礁区海上警示浮标4个、礁区陆地标示牌1个和石碑1个，建设礁区在线自动监控系统1套。</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2500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国家级海洋牧场示范区建设工程</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Style w:val="25"/>
                <w:rFonts w:hint="eastAsia" w:ascii="仿宋_GB2312" w:hAnsi="仿宋_GB2312" w:eastAsia="仿宋_GB2312" w:cs="仿宋_GB2312"/>
                <w:color w:val="auto"/>
                <w:highlight w:val="none"/>
              </w:rPr>
              <w:t>广东省农科院电白龙眼特色产业省级现代农业产业园项目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Style w:val="24"/>
                <w:rFonts w:hint="eastAsia" w:ascii="仿宋_GB2312" w:hAnsi="仿宋_GB2312" w:eastAsia="仿宋_GB2312" w:cs="仿宋_GB2312"/>
                <w:color w:val="auto"/>
                <w:highlight w:val="none"/>
              </w:rPr>
              <w:t>旦场镇松山村</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hAnsi="仿宋_GB2312" w:cs="仿宋_GB2312"/>
                <w:sz w:val="22"/>
                <w:szCs w:val="22"/>
                <w:highlight w:val="none"/>
              </w:rPr>
            </w:pPr>
            <w:r>
              <w:rPr>
                <w:rStyle w:val="24"/>
                <w:rFonts w:hint="eastAsia" w:ascii="仿宋_GB2312" w:hAnsi="仿宋_GB2312" w:eastAsia="仿宋_GB2312" w:cs="仿宋_GB2312"/>
                <w:color w:val="auto"/>
                <w:highlight w:val="none"/>
              </w:rPr>
              <w:t>建设占地面积3.3平方米，建设面积1万平方米。建设内容包括：农产品加工物流区、龙眼标准化生产示范园，龙眼生态示范园。年加工产量13800万吨，年盈利约4500万元</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2020-2023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kern w:val="0"/>
                <w:sz w:val="22"/>
                <w:szCs w:val="22"/>
                <w:highlight w:val="none"/>
              </w:rPr>
              <w:t>省级现代农业产业园</w:t>
            </w:r>
          </w:p>
        </w:tc>
      </w:tr>
      <w:tr>
        <w:tblPrEx>
          <w:tblCellMar>
            <w:top w:w="0" w:type="dxa"/>
            <w:left w:w="0" w:type="dxa"/>
            <w:bottom w:w="0" w:type="dxa"/>
            <w:right w:w="0" w:type="dxa"/>
          </w:tblCellMar>
        </w:tblPrEx>
        <w:trPr>
          <w:trHeight w:val="1094"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lang w:bidi="ar"/>
              </w:rPr>
              <w:t>18</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rPr>
            </w:pPr>
            <w:r>
              <w:rPr>
                <w:rFonts w:hint="eastAsia" w:ascii="仿宋_GB2312" w:hAnsi="仿宋_GB2312" w:cs="仿宋_GB2312"/>
                <w:kern w:val="0"/>
                <w:sz w:val="22"/>
                <w:szCs w:val="22"/>
                <w:highlight w:val="none"/>
              </w:rPr>
              <w:t>国家级沉香产业园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rPr>
            </w:pPr>
            <w:r>
              <w:rPr>
                <w:rFonts w:hint="eastAsia" w:ascii="仿宋_GB2312" w:hAnsi="仿宋_GB2312" w:cs="仿宋_GB2312"/>
                <w:kern w:val="0"/>
                <w:sz w:val="22"/>
                <w:szCs w:val="22"/>
                <w:highlight w:val="none"/>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电白区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rPr>
            </w:pPr>
            <w:r>
              <w:rPr>
                <w:rFonts w:hint="eastAsia" w:ascii="仿宋_GB2312" w:hAnsi="仿宋_GB2312" w:cs="仿宋_GB2312"/>
                <w:kern w:val="0"/>
                <w:sz w:val="22"/>
                <w:szCs w:val="22"/>
                <w:highlight w:val="none"/>
              </w:rPr>
              <w:t>投资4.5亿元打造融合种植、贸易、科研、文化、旅游和养身于一体的国家级沉香文化国际示范园</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2022-2025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45000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15000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30000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rPr>
              <w:t>国家级现代农业产业园</w:t>
            </w:r>
          </w:p>
        </w:tc>
      </w:tr>
      <w:tr>
        <w:tblPrEx>
          <w:tblCellMar>
            <w:top w:w="0" w:type="dxa"/>
            <w:left w:w="0" w:type="dxa"/>
            <w:bottom w:w="0" w:type="dxa"/>
            <w:right w:w="0" w:type="dxa"/>
          </w:tblCellMar>
        </w:tblPrEx>
        <w:trPr>
          <w:trHeight w:val="1094"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rPr>
            </w:pPr>
            <w:r>
              <w:rPr>
                <w:rStyle w:val="25"/>
                <w:rFonts w:hint="eastAsia" w:ascii="仿宋_GB2312" w:hAnsi="仿宋_GB2312" w:eastAsia="仿宋_GB2312" w:cs="仿宋_GB2312"/>
                <w:color w:val="auto"/>
                <w:highlight w:val="none"/>
                <w:lang w:bidi="ar"/>
              </w:rPr>
              <w:t>茂名市电白区生猪定点屠宰和冷链基础设施建设项目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lang w:bidi="ar"/>
              </w:rPr>
              <w:t>电白区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rPr>
            </w:pPr>
            <w:r>
              <w:rPr>
                <w:rStyle w:val="24"/>
                <w:rFonts w:hint="eastAsia" w:ascii="仿宋_GB2312" w:hAnsi="仿宋_GB2312" w:eastAsia="仿宋_GB2312" w:cs="仿宋_GB2312"/>
                <w:color w:val="auto"/>
                <w:highlight w:val="none"/>
                <w:lang w:bidi="ar"/>
              </w:rPr>
              <w:t>水东食品公司（肉联厂）整体搬迁新建。新建AAA级标准的生猪屠宰加工场一个，日屠宰生猪1000头，建设总用地面积约96亩，主要包括生产区和非生产区两部分。主要建设待宰栏、屠宰车间、宰牛车间、宰羊车间、预冷车间、分割车间、冷鲜车间、冷库、业务综合楼、污水处理车间、附属建筑。其中，猪屠宰车间（2条生产线，含屠宰车间，存猪栏，脱酸车间，速冷车间，分割车间，供热车间，检疫车间等），牛、羊生产车间各1条生产线（含待宰栏，牛屠宰车间），污水处理车间（含处理池，一体化处理设备），无害化处理车间（无害化处理车间，及冷库），业务综合楼（含办公、职工生活用房）</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lang w:bidi="ar"/>
              </w:rPr>
              <w:t>2022-2024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lang w:bidi="ar"/>
              </w:rPr>
              <w:t>15000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sz w:val="22"/>
                <w:szCs w:val="22"/>
                <w:highlight w:val="none"/>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kern w:val="0"/>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7</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信宜市南药特色产业省级现代农业产业园项目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信宜市东镇街道、洪冠镇、思贺镇、大成镇、茶山镇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建设内容：重点从农业设施南药标准化示范基地项目、土地流转、产业融合、科技研发与信息支撑、农业品牌、贷款贴息等方面进行打造。</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2023-2024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省级现代农业产业园</w:t>
            </w:r>
          </w:p>
          <w:p>
            <w:pPr>
              <w:widowControl/>
              <w:jc w:val="center"/>
              <w:textAlignment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信宜市粤信肉类食品有限公司禽畜加工基地建设项目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信宜市东镇街道栗木社区农副产品加工区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规划面积150亩。按国家四星级标准设计，建设生猪屠宰区，牛羊驴综合屠宰区、禽畜存放区、分割小包装区、冷库区、肉类深加工区、动检科研综合区及污水处理区，年屠宰猪、牛、羊驴各100万头。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16000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16000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信宜市粮食加工仓储物流园建设项目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信宜市火车站东边</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建成集粮食生产、加工、仓储、物流于一体的物流园，整体提升信宜市粮食加工仓储物流水平。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7000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7000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sz w:val="22"/>
                <w:szCs w:val="22"/>
                <w:highlight w:val="none"/>
              </w:rPr>
              <w:t>信宜市南药产业培育园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信宜市水口工业园</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建设信宜市南药省级现代农业产业园，整体提升南药种植、深加工、仓储、物流、科技、品牌水平。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省级现代农业产业园</w:t>
            </w:r>
          </w:p>
          <w:p>
            <w:pPr>
              <w:pStyle w:val="2"/>
              <w:ind w:left="0" w:leftChars="0" w:firstLine="0" w:firstLineChars="0"/>
              <w:jc w:val="center"/>
              <w:rPr>
                <w:rFonts w:hint="eastAsia" w:ascii="仿宋_GB2312" w:hAnsi="仿宋_GB2312" w:eastAsia="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信宜市乡村风貌提升项目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钱排镇、镇隆镇、云茂高速信宜段沿线</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sz w:val="22"/>
                <w:szCs w:val="22"/>
                <w:highlight w:val="none"/>
              </w:rPr>
              <w:t>对农房进行风貌提升和外立面微改造，打造风貌提升示范点。</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58700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58700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9</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高州温氏畜牧有限公司沙田养殖小区建设项目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高州石板镇板村村委会</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sz w:val="22"/>
                <w:szCs w:val="22"/>
                <w:highlight w:val="none"/>
              </w:rPr>
            </w:pPr>
            <w:r>
              <w:rPr>
                <w:rStyle w:val="24"/>
                <w:rFonts w:hint="eastAsia" w:ascii="仿宋_GB2312" w:hAnsi="仿宋_GB2312" w:eastAsia="仿宋_GB2312" w:cs="仿宋_GB2312"/>
                <w:color w:val="auto"/>
                <w:highlight w:val="none"/>
                <w:lang w:bidi="ar"/>
              </w:rPr>
              <w:t>建设养殖小区，分别包括育肥舍、保育舍，配套建设办公室、宿舍、饭堂、仓库、防疫设施、环保处理设施。</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2023-2024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13294</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13294</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高州市顺达猪场有限公司冷链物流基地建设项目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广东省高州市石鼓镇九罡开发区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建成顺达猪场冷链物流基地，项目占地24000平方米，建筑面积17400平方米，包括冷库，库存容量为10万立方米。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9100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9100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高州市京基智农时代有限公司高州市年产18万吨猪饲料自配料生产车间项目建设项目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高州市荷花镇大村村、高丰村、 张家堡村</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占地面积20970平方米，建筑总面积12117平方米，包括主车间、仓储、宿舍、办公 楼1及其相关生产配套建筑和备设施。建成投产后每年可生产猪饲料18万吨。</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2020-2022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8600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8600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高州温氏畜牧有限公司板村养殖小区建设项目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高州石板镇板村村委会</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建设养殖小区，分别包括育肥舍、保育舍，配套建设办公室、宿舍、饭堂、仓库、防疫设施、环保处理设施。</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17661</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17661</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高州市京基智农时代有限公司高州市生猪养殖二期项目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高州市荷花镇潭坡村、石双村、 平棉村</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建设高州市生猪养殖二期项目，占地面积1587412平方米，建筑总面积214825平方米，建成后存栏母猪1.35万头，存栏育肥猪14.4万头，年出栏生猪36万头。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2020-2022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高州市沙田镇结彩生猪养殖项目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高州市沙田镇高一村委 结彩林场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建设内容：建筑面积约 50000 平方米，占地约311679平方米。项目养殖存栏育肥猪4.8万头，年出栏商品肥猪10万头。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9300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9300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高州市石板镇祥章生猪养殖项目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高州市石板镇祥章管理区（祥一村、祥二村、枧头坡、酒窝村）</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建设内容：建筑面积约106942㎡，占地约310174.44㎡。建设消毒房、住宿楼、综合用房、配电房、恒压供水房、垃圾房、蓄水池、洗消棚、楼层育肥舍、出猪间等，可养殖存栏肥猪12.5万头，年出栏肥猪25万头。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34079.9</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34079.9</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高州市顺达猪场有限公司旧场搬迁项目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广东省高州市镇江镇金村村委会</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建设内容：建设猪舍50000平方米，配套附属设施等4000平方米。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农业产业类-畜禽养殖类项目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高州市乡村振兴示范带建设项目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规划以根子、分界镇为主轴，打造一条围绕“产业兴旺、生态宜居、乡风文明、治理有效、生活富裕”的乡村振兴示范带，发挥示范带对周边区域的示范引领、辐射带动作用，使其成为我市乡村振兴的“重要窗口”。</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高州市粮食产业园项目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在以石鼓为中心的西部建立稻米生产加工基地，面积约20万亩，主要包括石鼓、镇江、石板、荷花等镇（街道）；在以古丁、深镇、云潭等优质番薯产地创建番薯生产加工基地，面积约5万亩。</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高州市蛋鸡产业现代农业产业园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打造高标准核心示范场6个，产业园配套建设1个蛋鸡集约化育雏育成中心，打造高标准初加工场所5个，建设全自动蛋品分级设备，建设有线上线下一体化电子商务平台10个以上。</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高州市罗非鱼高质量发展项目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池塘标准化改造15000亩，开展罗非鱼“吊水”提质工程</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8000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高州市荔枝产业高质量发展三年行动计划项目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1、荔枝高接换种改造5万亩。</w:t>
            </w:r>
          </w:p>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2、荔枝低效果园改造，加强果园水、电、路、渠和喷（滴）灌设施，病虫害监测防治等基础设施建设，改造低效果园15万亩。</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42500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高州市龙眼-生猪国家级现代农业产业园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打造现代标准数字智慧生猪核心示范养殖基地55000多平方米，建造工业化养猪设施设备300多套。打造保种保育、饲料加工、智慧养殖、屠宰加工、冷链物流、品牌营销、文旅体验一条龙“猪猪生态乐园”333000多平方米。建设生猪养殖软硬件数字系统5套，对标养猪全产业链，集成运用物联网、大数据、云计算、人工智能、区块链等技术，建设产品展示中心5000多平方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2022-2025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高州市数字农业建设项目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打造一条数字农业产业化示范链条。建立“公司+农民专业合作社+家庭农场”的农业产业化发展链条，家庭农场按照农民专业合作社的农业生产计划在示范点种植农产品；28个家庭农场联合成立一个农民专业合作社，按照保底价+浮动收益的方式，建立紧密型利益联结机制，并按照订单需求组织农业生产。</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高州市养殖示范园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项目位于石仔岭街道陈大岭村，占地面积70多亩，属单位自有建设用地。项目拟建集畜牧、渔业科研与科普，品种展示，大数据监测及示范推广于一体的综合性现代养殖示范园。包括功能馆室建设（科技展馆6000㎡、综合培训中心4000㎡、实验大楼8000㎡、数据监测室1000㎡、综合档案室1000㎡等）20000多平方米、基础设施建设（场地硬底化20000㎡、停车场3000㎡、供排水系统、绿化2000㎡等）、现代养殖示范区建设。</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2022-2024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12000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高州市现代农业科创园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项目位于宝光街道西岸马鞭岭，占地面积32亩，属单位自有建设用地。项目拟建集农业科研与科普、现代农业设施与品种展示于一体的综合性现代农业示范园，包括新建农业光电科技展馆1000㎡、多功能停车场500㎡、综合培训中心1200㎡、现代温室棚2000㎡、农作物展示体验区4500㎡、景观休闲平台1800㎡、回环道路1200m，完善改扩建农业检测实验大楼800㎡，采购设备15台（套）。</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2022-2023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Fonts w:hint="eastAsia" w:hAnsi="仿宋_GB2312" w:cs="仿宋_GB2312"/>
                <w:sz w:val="22"/>
                <w:szCs w:val="22"/>
                <w:highlight w:val="none"/>
              </w:rPr>
              <w:t>高州农产品加工冷链物流产业园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项目建筑面积约5万平方米。计划建设库容3万吨大型冷库、农产品加工中心、分拣配送物流综合中心等，购置制冷设备、仓储作业设备、冷链物流运输设备和生产运营所需的配套设备等。</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高州市扶持村级集体经济发展项目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高州市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计划在2021-2023年对全市448个村（居）农村集体经济组织开展扶持，每村投入扶持资金50万元， 重点通过以下模式展：（一）盘活资源资产，走“资产经营型”发展模式。结合农村“三变”改革和农村集体资产清产核资工作，盘活闲置或低效使用的办公用房、厂房、校舍等各类存量资产，通过依法改造、发包租赁、入股联营等方式加以盘活；（二）依托特色产业，走“产业带动型”发展模式。支持农村集体经济组织在尊重农民意愿的前提下，利用集体土地、水面等资源，大力发展富民兴村产业，以推进“一村一品”为抓手，发展高效生态农业、设施农业、特色农业；依托农业产业、自然风光、民俗风情、农耕文化等，发展乡村休闲旅游业；采取“电商企业+基地+专业合作社+农户”等模式，发展农村电商经济；（三）实行抱团置业，走“物业租赁型”发展模式。在工业集中区、人口集聚区、城镇街道等，购置或建设厂房、商铺门面、仓储设施等物业项目，发展物业经济。对城郊村、园区村、主干道沿线村等区位优势明显的村，注重统筹规划，建设专业市场、沿街商铺、标准厂房、仓储中心等，通过物业租赁方式促进集体资产保值增值；对位置偏远村、资源匮乏村、发展空间较小的村，采取村村联合、村企联合等形式，在城镇、园区等实行异地兴建或购置物业项目，联建厂房、联购商铺、联办仓储等，使村集体有稳定的收入。</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24400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化州市水产产业园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杨梅镇、石湾街道、河西街道、鉴江街道、南盛街道</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以促进现代要素集聚、产业技术带动为引领 ，以促进产业融合发展、产出效益提升和农民持续增收为主线，围绕罗非鱼产业，定位高端精致农业，打造绿色生态品牌，按照产业经营组织化、产品生产标准化、服务管理信息化、现代科技集成化、设备装备高端化、资源利用高效化、产地环境生态化得总体思路，促进园区农业生产、加工、物流、研发、示范、服务等互相融合和全产业链开发，扎紧“鱼袋子”，撑起“钱袋子”，全面推进“一心驱动、一带引领、三区拓展、多基地支撑”的水产园区建设布局。</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w:t>
            </w:r>
            <w:r>
              <w:rPr>
                <w:rFonts w:hint="eastAsia" w:hAnsi="仿宋_GB2312" w:cs="仿宋_GB2312"/>
                <w:kern w:val="0"/>
                <w:sz w:val="22"/>
                <w:szCs w:val="22"/>
                <w:highlight w:val="none"/>
                <w:lang w:bidi="ar"/>
              </w:rPr>
              <w:t>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22150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12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12150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sz w:val="22"/>
                <w:szCs w:val="22"/>
                <w:highlight w:val="none"/>
              </w:rPr>
              <w:t>省级现代农业产业园</w:t>
            </w:r>
          </w:p>
          <w:p>
            <w:pPr>
              <w:pStyle w:val="2"/>
              <w:ind w:left="0" w:leftChars="0" w:firstLine="0" w:firstLineChars="0"/>
              <w:jc w:val="center"/>
              <w:rPr>
                <w:rFonts w:hint="eastAsia" w:ascii="仿宋_GB2312" w:hAnsi="仿宋_GB2312" w:eastAsia="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化州市南药产业带和沉香加工提升发展项目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平定镇、播扬镇、文楼镇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内容：对基地进行土地改良、基地道路硬底化、水渠建设、水肥一体化建设；在平定、播扬、文楼建设沉香发展核心区，培育新经营主体龙头2一3家，带动沉香产业发展；完善沉香产业链，对沉香产业种植、加工、销售一体化加大扶持力度；沉香品牌建设方面：积极打造沉香品牌，加大宣传力度，提高沉香知名度。</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化州市新安镇特色水果产业发展建设项目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新安镇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建设内容：优势特色水果扩种及改良、特色水果加工、品牌建设、技术推广与运营管理。</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8</w:t>
            </w: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广东农垦茂名垦区化州油茶特色产业现代农业产业园项目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建设油茶标准化生产基地，完善基地配套设施；建设茶籽油加工物流园区；推动发展休闲农业；完善科技研发与信息支撑体系建设，强化农业品牌建设</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lang w:bidi="ar"/>
              </w:rPr>
              <w:t>2022-2023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22000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17000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Style w:val="24"/>
                <w:rFonts w:hint="eastAsia" w:ascii="仿宋_GB2312" w:hAnsi="仿宋_GB2312" w:eastAsia="仿宋_GB2312" w:cs="仿宋_GB2312"/>
                <w:color w:val="auto"/>
                <w:highlight w:val="none"/>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rPr>
            </w:pPr>
            <w:r>
              <w:rPr>
                <w:rFonts w:hint="eastAsia" w:ascii="仿宋_GB2312" w:hAnsi="仿宋_GB2312" w:cs="仿宋_GB2312"/>
                <w:kern w:val="0"/>
                <w:sz w:val="22"/>
                <w:szCs w:val="22"/>
                <w:highlight w:val="none"/>
                <w:lang w:bidi="ar"/>
              </w:rPr>
              <w:t>省级现代农业产业园</w:t>
            </w: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化州市农业大棚与水肥一体化建设示范建设项目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重点扶持农业新型经营主体建设农业设施大棚与水肥一体化建设，拟建设绿萝基地建设钢管大棚180亩、水肥一体化设施180亩、展现场观摩 1 次、技术服务和推广应用。</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农业产业类-农业设施类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化州市农业现代化机械化提升建设项目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扶持经营主体使用农业机械--水稻耕种收机械装备及其他特色经济作物现代化机械装备，提升现代农机装备高质量发展能力，加快水稻机种环节的补短板，其他经济作物机械化耕种收短板。</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lang w:bidi="ar"/>
              </w:rPr>
            </w:pPr>
            <w:r>
              <w:rPr>
                <w:rFonts w:hint="eastAsia" w:ascii="仿宋_GB2312" w:hAnsi="仿宋_GB2312" w:cs="仿宋_GB2312"/>
                <w:kern w:val="0"/>
                <w:sz w:val="22"/>
                <w:szCs w:val="22"/>
                <w:highlight w:val="none"/>
                <w:lang w:bidi="ar"/>
              </w:rPr>
              <w:t>农业产业类-农业设施类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化州市农业基础设施冷链建设项目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化州市各镇（区、街道）农业企业、基地</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支持化州市各镇街建设区域中心冷库一个和二十个田头冷库，整体提升化州市农业冷链水平。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2500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粤西（化州）肉品加工冷链配送中心</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主要建设预冷排酸车间、分割车间、冷库、肉制品车间、待宰车间、污水处理车间等。建成后屠宰生猪2000头/日、加上一期时间屠宰1000头/日，屠宰达到3000头/日，分割肉1000头/日、排酸肉2000头/日、冷库为快速冷却500头/小时、冷却及储存3000头/日、冷冻（却）储藏能力5000吨、深加工肉食产品日产2吨。</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12797</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化州市农副产品空港物流园建设项目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化州市杨梅工业园区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对化州市农副产品空港物流园进行建设，重点包括规划用地、设计、建设、装修、管护和宣传等，整体提升化州市农副产品的物流能力。</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9000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4500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4500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化州市支持农产品加工业发展建设项目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支持农业新型经营主体对加强本地特色水果、农副产品加工厂房和设备设施进行改造，提升本地农产品的加工水平。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化州市罗非鱼加工仓储冷链配送扩大内需市场建设项目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对化州市罗非鱼产业的加工仓储冷链物流体系进行改造提升，支持新型经营主体进行改造，针对罗非鱼内销市场进行策划、布展、推介、宣传等，提升化州市罗非鱼内需市场的占有率。</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化州市乡镇田头农产品产地仓储冷链物流设施建设项目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建设1个乡镇田头农产品产地仓储冷链物流点，提升化州市农产品仓储冷链物流水平。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1051</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515</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536</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化州市蔬菜加工保鲜设施建设项目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建设1个具备检验检疫中心、电子商务中心、培训中心、科研中心、展示交易大厅等的综合管理中心；建设1个果蔬加工、配送服务中心；建设1个2000立方米果蔬保鲜仓储库，提升化州市蔬菜加工保鲜能力。</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化州市智能自动化对虾加工生产线建设项目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支持化州市对虾加工产业发展，建设1批智能自动化对虾加工生产线。</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化州市特色农业大数据平台建设项目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化州市区</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建设化州市特色农业大数据平台，包括方案设计、农业产业大地图、基础数据资源库、特色产业大数据综合服务平台、一村一品特色应用智慧工程、数字乡村特色应用智慧工程、运营运维服务等。</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7"/>
                <w:rFonts w:hint="eastAsia" w:ascii="仿宋_GB2312" w:hAnsi="仿宋_GB2312" w:eastAsia="仿宋_GB2312" w:cs="仿宋_GB2312"/>
                <w:color w:val="auto"/>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6000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化州市地域优势农作物示范推广项目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建设化州市地域优势粮食作物示范片和特色水果作物示范片各3000亩，培训观摩100人。</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农业产业类-科技与数字农业农村类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化州市支持农业产业化联合体建设项目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支持农业生产基地升级、农副产品加工、三产融合，鼓励新型经营主体创建农业产业化联合体。</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农业产业类-新型经营主体提升类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化州市化橘红博览中心建设项目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茂名市化州市官桥镇省道S284与红峰大道交汇处山岭</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5"/>
                <w:rFonts w:hint="eastAsia" w:ascii="仿宋_GB2312" w:hAnsi="仿宋_GB2312" w:eastAsia="仿宋_GB2312" w:cs="仿宋_GB2312"/>
                <w:color w:val="auto"/>
                <w:highlight w:val="none"/>
                <w:lang w:bidi="ar"/>
              </w:rPr>
              <w:t>规划总面积为53.34万平方米（不包括政府征地。建设化橘红文化公园、化橘红生态观光园、化橘红科研中心、化橘红展销展示集散中心、化橘红仓储物流中心、化橘红村综合项目、化橘红大数据中心、化橘红溯源平台、电子商务平台等项目配套设施建设。</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17000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农业产业类-一二三产业融合类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化州市化橘红一二三产业融合发展项目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规划建成集农工贸、科技信息、文化休闲旅游及健康养生于一体的化橘红“三产”融合发展功能区，致力将化橘红产业打造成千亿产业。到2025年，发展种植面积在13万亩以上，建立千亩以上高标准生产示范区10个，化橘红种源复壮育苗基地30个；引进实力雄厚的研发加工企业3家，开发化橘红系列产品包括化橘红精油、化橘红成药、化橘红制剂、化橘红雾化器等；打造1个化橘红小镇、5个集康养、旅游、文化于一体的化橘红功能区。</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500</w:t>
            </w: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农业产业类-一二三产业融合类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化州市田园综合体智慧农业建设项目（新安片区）</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新安镇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建设8个智慧标准化农业观光大棚；覆盖全区所有农村畜禽排污循环利用系统工程建设；建设特色水果采摘亲自体验园和农业科普展览馆；建设古驿道新安-石湾段，沿着古驿道周边村庄择优进行建设，通过推进示范带沿线村庄农房管控风貌提升、村巷道道路硬底化、污水处理设施、雨污分流、公厕建设、村庄美化提升等项目，打造茂名市田园综合体新亮点，形成“南粤古道˙橘香万里”广东田园综合体智慧农业观光旅游示范点。</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农业产业类-一二三产业融合类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化州市休闲渔业基础设施建设项目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对化州市休闲渔业的基础设施进行改造，重点建设休闲长廊、路面硬底化及长廊、观赏鱼池及休闲渔业信息化系统。</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0"/>
                <w:szCs w:val="20"/>
                <w:highlight w:val="none"/>
                <w:lang w:bidi="ar"/>
              </w:rPr>
            </w:pPr>
            <w:r>
              <w:rPr>
                <w:rFonts w:hint="eastAsia" w:ascii="仿宋_GB2312" w:hAnsi="仿宋_GB2312" w:cs="仿宋_GB2312"/>
                <w:kern w:val="0"/>
                <w:sz w:val="22"/>
                <w:szCs w:val="22"/>
                <w:highlight w:val="none"/>
                <w:lang w:bidi="ar"/>
              </w:rPr>
              <w:t>农业产业类-一二三产业融合类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化州市“鉴江画廊”乡村振兴“千村示范，万村整治”示范带建设项目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鉴江沿岸村庄，鉴江开发区，东山街道，南盛街道，丽岗镇，河西街道</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以汕湛高速化州北丽岗出入口为起点、化州市政府广场为终点，依托“鉴江画廊”和汕湛高速、285省道、207国道等交通枢纽，全长约25公里。重点打造包括尖角村在内的5个美丽乡村、1条圩市商业街、1个综合体示范区、1个古码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16000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800</w:t>
            </w: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8000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0"/>
                <w:szCs w:val="20"/>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化州市南路革命红色文化乡村振兴建设项目（笪桥片区）</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笪桥镇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围绕“南路革命”红色文化主题，规划建设古驿道新安-石湾段；乡道（绿道）官桥-石湾-国道207段；乡道（绿道）柑村-新安-官桥段；建设红色文化、冼太文化长廊；沿红色文化路线着手建设村庄农房管控风貌提升、村巷道道路硬底化等项目，精心打造古驿道—新农村示范片、城郊旅游特色片、禅宗生态特色片等八片区，形成红色文化乡村振兴示范亮点。</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2500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2500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0"/>
                <w:szCs w:val="20"/>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Fonts w:hint="eastAsia" w:ascii="仿宋_GB2312" w:hAnsi="仿宋_GB2312" w:cs="仿宋_GB2312"/>
                <w:kern w:val="0"/>
                <w:sz w:val="22"/>
                <w:szCs w:val="22"/>
                <w:highlight w:val="none"/>
                <w:lang w:bidi="ar"/>
              </w:rPr>
              <w:t>化州市罗江乡村振兴示范带建设项目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罗江沿岸村庄，河西街道，石湾街道，丽岗镇，新安镇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以汕湛高速化州石湾出入口为起点、经罗江两岸、罗江大桥为终点，全长约30公里，开展岭南特色农村建筑风貌创建工作。通过重要节点的集中提质改造、沿线农房风貌的管控提升、道路交通系统的优化组织举措打造罗江乡村振兴示范带，以石湾街道为中心，辐射河西、新安等镇（街）。</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16000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800</w:t>
            </w:r>
            <w:r>
              <w:rPr>
                <w:rFonts w:hint="eastAsia" w:ascii="仿宋_GB2312" w:hAnsi="仿宋_GB2312" w:cs="仿宋_GB2312"/>
                <w:kern w:val="0"/>
                <w:sz w:val="22"/>
                <w:szCs w:val="22"/>
                <w:highlight w:val="none"/>
                <w:lang w:bidi="ar"/>
              </w:rPr>
              <w:t>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8000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0"/>
                <w:szCs w:val="20"/>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sz w:val="22"/>
                <w:szCs w:val="22"/>
                <w:highlight w:val="none"/>
              </w:rPr>
            </w:pPr>
            <w:r>
              <w:rPr>
                <w:rStyle w:val="25"/>
                <w:rFonts w:hint="eastAsia" w:ascii="仿宋_GB2312" w:hAnsi="仿宋_GB2312" w:eastAsia="仿宋_GB2312" w:cs="仿宋_GB2312"/>
                <w:color w:val="auto"/>
                <w:highlight w:val="none"/>
                <w:lang w:bidi="ar"/>
              </w:rPr>
              <w:t>化州市鉴江、罗江两江乡村振兴风貌提升示范带建设项目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打造“两带一廊两轴多片区”的风貌控制格局：“两带”为鉴江、罗江景观带；“一廊”为古驿道历史景观带；“两轴”为省道284、省道285景观轴；“多片区”为特色发展片区，包括古驿道—新农村示范片、城郊旅游特色片、禅宗生态特色片等八片区。通过推进示范带沿线村庄农房管控风貌提升、村巷道道路硬底化、污水处理设施、雨污分流、村庄集中供水、村庄垃圾处理、公厕建设、村庄美化提升、完善村庄公共文化设施等项目，打造我市乡村振兴人居环境整治和农房管控的新亮点，形成我市乡村振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0"/>
                <w:szCs w:val="20"/>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航空创意园风貌提升示范片项目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杨梅镇、良光镇、笪桥镇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航空创意园周边的村庄进行建设，主要对村庄环境进行美化改造，完善村庄公共基础服务设施，并对周边农房进行农房管控风貌提升，推进示范片沿线村庄村巷道道路硬底化、污水处理设施、雨污分流、村庄集中供水、村庄垃圾处理、公厕建设、村庄美化提升，将该示范片打造为我市乡村振兴样板。</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15000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百圩振兴乡村项目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对全市23个镇（街道）的圩进行改造提升，提升圩的公共服务设施和圩容圩貌，完善卫生、教育、垃圾分类处理、公厕等公共服务设施建设，打造干净整洁、设施完善、环境优良的圩镇，助推乡村振兴。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138000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138000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高速路沿线及高速出入口沿线村庄风貌提升项目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石湾街道、丽岗镇、良光镇、笪桥镇、新安镇、同庆镇、长岐镇、杨梅镇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对我市高速出入口和沈海高速、汕湛高速经过我市的沿线村庄进行风貌提升。高速沿线村庄进行农房管控风貌提升，高速出入口周边村庄进行环境美化提升，推进村庄农房管控风貌提升、村巷道道路硬底化、污水处理设施、雨污分流、村庄集中供水、村庄垃圾处理、公厕建设、村庄美化提升、完善村庄公共文化设施等项目，对重要节点进行亮点打造。</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36000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36000</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农村发展类-乡村风貌提升类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化州市沉香产业园建设项目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平定镇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依托沉香文化、生产、研发、加工、销售全过程，穿珠成链，在平定建设集种源保护，生产供销，产品展销，加工研发、生态旅游，信息服务、医疗康养、乡村民宿于一体的产业园。总体形成“一心一带三区”的空间格局，推动化州市沉香产业和沉香中医文化、香道文化、宗教文化、雕刻文化、收藏文化的发展</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abs>
                <w:tab w:val="left" w:pos="274"/>
              </w:tabs>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5000</w:t>
            </w:r>
          </w:p>
        </w:tc>
        <w:tc>
          <w:tcPr>
            <w:tcW w:w="12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kern w:val="0"/>
                <w:sz w:val="22"/>
                <w:szCs w:val="22"/>
                <w:highlight w:val="none"/>
                <w:lang w:bidi="ar"/>
              </w:rPr>
            </w:pPr>
            <w:r>
              <w:rPr>
                <w:rFonts w:hint="eastAsia" w:hAnsi="仿宋_GB2312" w:cs="仿宋_GB2312"/>
                <w:sz w:val="22"/>
                <w:szCs w:val="22"/>
                <w:highlight w:val="none"/>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firstLine="242"/>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水产养殖池塘升级改造和尾水治理</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firstLine="214"/>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全市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对5万亩养殖池塘进行升级改造和尾水治理</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7500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abs>
                <w:tab w:val="left" w:pos="274"/>
              </w:tabs>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7500</w:t>
            </w:r>
          </w:p>
        </w:tc>
        <w:tc>
          <w:tcPr>
            <w:tcW w:w="12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cs="仿宋_GB2312"/>
                <w:kern w:val="0"/>
                <w:sz w:val="22"/>
                <w:szCs w:val="22"/>
                <w:highlight w:val="none"/>
                <w:lang w:bidi="ar"/>
              </w:rPr>
            </w:pPr>
            <w:r>
              <w:rPr>
                <w:rFonts w:hint="eastAsia" w:hAnsi="仿宋_GB2312" w:cs="仿宋_GB2312"/>
                <w:highlight w:val="none"/>
              </w:rPr>
              <w:t>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农业产业类-一二三产业融合类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hAnsi="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化州水稻产业园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Style w:val="24"/>
                <w:rFonts w:hint="eastAsia" w:ascii="仿宋_GB2312" w:hAnsi="仿宋_GB2312" w:eastAsia="仿宋_GB2312" w:cs="仿宋_GB2312"/>
                <w:color w:val="auto"/>
                <w:highlight w:val="none"/>
                <w:lang w:bidi="ar"/>
              </w:rPr>
              <w:t>化州市那务镇、中垌镇、合江镇、平定镇、江湖镇、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Fonts w:hint="eastAsia" w:hAnsi="仿宋_GB2312" w:cs="仿宋_GB2312"/>
                <w:highlight w:val="none"/>
              </w:rPr>
              <w:t>建</w:t>
            </w:r>
            <w:r>
              <w:rPr>
                <w:rStyle w:val="24"/>
                <w:rFonts w:hint="eastAsia" w:ascii="仿宋_GB2312" w:hAnsi="仿宋_GB2312" w:eastAsia="仿宋_GB2312" w:cs="仿宋_GB2312"/>
                <w:color w:val="auto"/>
                <w:highlight w:val="none"/>
                <w:lang w:bidi="ar"/>
              </w:rPr>
              <w:t>设规模：25.6万亩，辐射带动10万亩。</w:t>
            </w:r>
          </w:p>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重点打造广东粮之源粮油实业有限公司特色优质大米加工基地、化州市中垌兴农种养基地专业合作社、化州市晟美种植专业合作社、化州市中垌绍聪水稻种植场、化州市惜众农机专业合作社等主体，重点打造丝苗米产业的发展。通过产业融合、产业聚集，将资本、技术以及各种资源要素跨界集约化配置，把水稻种植、加工销售、仓储物流、食品加工等有机整合在一起，使一二三产业之间紧密相连、协同发展。从而推动我市水稻种植规模化、市场化发展。　</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20000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0</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5000</w:t>
            </w:r>
          </w:p>
        </w:tc>
        <w:tc>
          <w:tcPr>
            <w:tcW w:w="12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5000</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hAnsi="仿宋_GB2312" w:cs="仿宋_GB2312"/>
                <w:kern w:val="0"/>
                <w:sz w:val="22"/>
                <w:szCs w:val="22"/>
                <w:highlight w:val="none"/>
                <w:lang w:bidi="ar"/>
              </w:rPr>
              <w:t>10000</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Fonts w:hint="eastAsia" w:ascii="仿宋_GB2312" w:hAnsi="仿宋_GB2312" w:cs="仿宋_GB2312"/>
                <w:kern w:val="0"/>
                <w:sz w:val="22"/>
                <w:szCs w:val="22"/>
                <w:highlight w:val="none"/>
                <w:lang w:bidi="ar"/>
              </w:rPr>
              <w:t>农业产业类-产业园类项目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sz w:val="22"/>
                <w:szCs w:val="2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茂名市恒兴饲料有限公司饲料加工项目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项目占地面积56975.31平方米，建筑面积28000平方米，主要建筑物有生产车间、仓库宿舍、办公楼等，主要产品是配合饲料等，使用的材料为玉米、豆粕、统糠、小麦等，主要生产能力为20万吨/年。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2021-2022</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22000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茂名市恒兴水产科技有限公司水产品深加工项目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化州市</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建筑面积30000平方米，主要建筑物有生产车间、仓库、冷库、宿舍、办公楼等，主要产品是罗非鱼、金鲳鱼、清江鱼等。主要生产为1.0万吨/年</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p>
          <w:p>
            <w:pPr>
              <w:widowControl/>
              <w:jc w:val="center"/>
              <w:textAlignment w:val="center"/>
              <w:rPr>
                <w:rFonts w:hint="eastAsia" w:hAnsi="仿宋_GB2312" w:cs="仿宋_GB2312"/>
                <w:sz w:val="22"/>
                <w:szCs w:val="22"/>
                <w:highlight w:val="none"/>
              </w:rPr>
            </w:pPr>
          </w:p>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23000</w:t>
            </w:r>
          </w:p>
          <w:p>
            <w:pPr>
              <w:pStyle w:val="2"/>
              <w:ind w:firstLine="600"/>
              <w:jc w:val="center"/>
              <w:rPr>
                <w:rFonts w:hint="eastAsia" w:ascii="仿宋_GB2312" w:hAnsi="仿宋_GB2312" w:eastAsia="仿宋_GB2312" w:cs="仿宋_GB2312"/>
                <w:sz w:val="22"/>
                <w:szCs w:val="22"/>
                <w:highlight w:val="none"/>
              </w:rPr>
            </w:pP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sz w:val="22"/>
                <w:szCs w:val="22"/>
                <w:highlight w:val="none"/>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万亩果园</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化州市官桥镇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依托化橘红、红江橙、番石榴等农业，结合化橘红产业园的建设，打造化州万亩果园生态农业基地，形成农产品生产-加工-集散一体化的产业特色片</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2021-2025</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firstLine="209" w:firstLineChars="100"/>
              <w:textAlignment w:val="center"/>
              <w:rPr>
                <w:rFonts w:hint="eastAsia" w:hAnsi="仿宋_GB2312" w:cs="仿宋_GB2312"/>
                <w:sz w:val="22"/>
                <w:szCs w:val="22"/>
                <w:highlight w:val="none"/>
              </w:rPr>
            </w:pPr>
            <w:r>
              <w:rPr>
                <w:rFonts w:hint="eastAsia" w:hAnsi="仿宋_GB2312" w:cs="仿宋_GB2312"/>
                <w:sz w:val="22"/>
                <w:szCs w:val="22"/>
                <w:highlight w:val="none"/>
              </w:rPr>
              <w:t>2500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农业产业类-特色产业类项目</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茂名国家高新区农产品冷链物流基地项目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七迳镇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拟建农产品冷链物流基地用地面积20亩，农产品年流通规模1万吨。项目总建筑面积为14200平方米。其中：A仓库5000平方米；B冷库6500平方米；C清洗分拣间800平方米；D净菜加工车间（含中央厨房）1000平方米；E包装配送间500平方米；F其他配套用房200平方米；G监测中心200平方米。</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2021-2023</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firstLine="0" w:firstLineChars="0"/>
              <w:textAlignment w:val="center"/>
              <w:rPr>
                <w:rFonts w:hint="eastAsia" w:hAnsi="仿宋_GB2312" w:cs="仿宋_GB2312"/>
                <w:highlight w:val="none"/>
              </w:rPr>
            </w:pPr>
            <w:r>
              <w:rPr>
                <w:rFonts w:hint="eastAsia" w:hAnsi="仿宋_GB2312" w:cs="仿宋_GB2312"/>
                <w:highlight w:val="none"/>
                <w:lang w:val="en-US" w:eastAsia="zh-CN"/>
              </w:rPr>
              <w:t xml:space="preserve"> </w:t>
            </w:r>
            <w:r>
              <w:rPr>
                <w:rFonts w:hint="eastAsia" w:hAnsi="仿宋_GB2312" w:cs="仿宋_GB2312"/>
                <w:sz w:val="22"/>
                <w:szCs w:val="22"/>
                <w:highlight w:val="none"/>
                <w:lang w:val="en-US" w:eastAsia="zh-CN"/>
              </w:rPr>
              <w:t xml:space="preserve"> </w:t>
            </w:r>
            <w:r>
              <w:rPr>
                <w:rFonts w:hint="eastAsia" w:hAnsi="仿宋_GB2312" w:cs="仿宋_GB2312"/>
                <w:sz w:val="22"/>
                <w:szCs w:val="22"/>
                <w:highlight w:val="none"/>
              </w:rPr>
              <w:t>5600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highlight w:val="none"/>
              </w:rPr>
            </w:pPr>
          </w:p>
        </w:tc>
      </w:tr>
      <w:tr>
        <w:tblPrEx>
          <w:tblCellMar>
            <w:top w:w="0" w:type="dxa"/>
            <w:left w:w="0" w:type="dxa"/>
            <w:bottom w:w="0" w:type="dxa"/>
            <w:right w:w="0" w:type="dxa"/>
          </w:tblCellMar>
        </w:tblPrEx>
        <w:trPr>
          <w:trHeight w:val="600" w:hRule="atLeast"/>
        </w:trPr>
        <w:tc>
          <w:tcPr>
            <w:tcW w:w="3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numPr>
                <w:ilvl w:val="0"/>
                <w:numId w:val="4"/>
              </w:numPr>
              <w:jc w:val="center"/>
              <w:textAlignment w:val="center"/>
              <w:rPr>
                <w:rFonts w:hint="eastAsia" w:hAnsi="仿宋_GB2312" w:cs="仿宋_GB2312"/>
                <w:kern w:val="0"/>
                <w:sz w:val="22"/>
                <w:szCs w:val="22"/>
                <w:highlight w:val="none"/>
                <w:lang w:bidi="ar"/>
              </w:rPr>
            </w:pPr>
          </w:p>
        </w:tc>
        <w:tc>
          <w:tcPr>
            <w:tcW w:w="9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5"/>
                <w:rFonts w:hint="eastAsia" w:ascii="仿宋_GB2312" w:hAnsi="仿宋_GB2312" w:eastAsia="仿宋_GB2312" w:cs="仿宋_GB2312"/>
                <w:color w:val="auto"/>
                <w:highlight w:val="none"/>
                <w:lang w:bidi="ar"/>
              </w:rPr>
            </w:pPr>
            <w:r>
              <w:rPr>
                <w:rStyle w:val="25"/>
                <w:rFonts w:hint="eastAsia" w:ascii="仿宋_GB2312" w:hAnsi="仿宋_GB2312" w:eastAsia="仿宋_GB2312" w:cs="仿宋_GB2312"/>
                <w:color w:val="auto"/>
                <w:highlight w:val="none"/>
                <w:lang w:bidi="ar"/>
              </w:rPr>
              <w:t>茂名国家高新区食品药品产业园基础设施项目</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储备</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七迳镇</w:t>
            </w:r>
          </w:p>
        </w:tc>
        <w:tc>
          <w:tcPr>
            <w:tcW w:w="3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Style w:val="24"/>
                <w:rFonts w:hint="eastAsia" w:ascii="仿宋_GB2312" w:hAnsi="仿宋_GB2312" w:eastAsia="仿宋_GB2312" w:cs="仿宋_GB2312"/>
                <w:color w:val="auto"/>
                <w:highlight w:val="none"/>
                <w:lang w:bidi="ar"/>
              </w:rPr>
            </w:pPr>
            <w:r>
              <w:rPr>
                <w:rStyle w:val="24"/>
                <w:rFonts w:hint="eastAsia" w:ascii="仿宋_GB2312" w:hAnsi="仿宋_GB2312" w:eastAsia="仿宋_GB2312" w:cs="仿宋_GB2312"/>
                <w:color w:val="auto"/>
                <w:highlight w:val="none"/>
                <w:lang w:bidi="ar"/>
              </w:rPr>
              <w:t>1.全面提升</w:t>
            </w:r>
            <w:r>
              <w:rPr>
                <w:rStyle w:val="25"/>
                <w:rFonts w:hint="eastAsia" w:ascii="仿宋_GB2312" w:hAnsi="仿宋_GB2312" w:eastAsia="仿宋_GB2312" w:cs="仿宋_GB2312"/>
                <w:color w:val="auto"/>
                <w:highlight w:val="none"/>
                <w:lang w:bidi="ar"/>
              </w:rPr>
              <w:t>茂名国家高新区食品药品产业园基础配套设施。拟于食品药品产业园内建设3A屠宰场和食品深加工产业链，并配套建设园区内路网、绿化、亮化、通讯、供水、供电、污水、停车场等基础设施项目。其中，3A屠宰场的总建筑面积为13350平方米，其中主要建设内容如下：屠宰车间4300平方米；综合楼1100平方米；配电房（含设备）及垃圾中转站150平方米；保安室及大门100平方米等。2.建设生态康养产业区，并配套建设园区内路网、绿化、亮化、通讯、供水、供电、污水、停车场等基础设施项目。</w:t>
            </w:r>
          </w:p>
        </w:tc>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2021-2024</w:t>
            </w:r>
          </w:p>
        </w:tc>
        <w:tc>
          <w:tcPr>
            <w:tcW w:w="10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firstLine="209" w:firstLineChars="100"/>
              <w:textAlignment w:val="center"/>
              <w:rPr>
                <w:rFonts w:hint="eastAsia" w:hAnsi="仿宋_GB2312" w:cs="仿宋_GB2312"/>
                <w:highlight w:val="none"/>
              </w:rPr>
            </w:pPr>
            <w:r>
              <w:rPr>
                <w:rFonts w:hint="eastAsia" w:hAnsi="仿宋_GB2312" w:cs="仿宋_GB2312"/>
                <w:sz w:val="22"/>
                <w:szCs w:val="22"/>
                <w:highlight w:val="none"/>
              </w:rPr>
              <w:t>60000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highlight w:val="none"/>
                <w:lang w:bidi="ar"/>
              </w:rPr>
            </w:pPr>
            <w:r>
              <w:rPr>
                <w:rFonts w:hint="eastAsia" w:hAnsi="仿宋_GB2312" w:cs="仿宋_GB2312"/>
                <w:kern w:val="0"/>
                <w:sz w:val="22"/>
                <w:szCs w:val="22"/>
                <w:highlight w:val="none"/>
                <w:lang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sz w:val="22"/>
                <w:szCs w:val="22"/>
                <w:highlight w:val="none"/>
              </w:rPr>
            </w:pPr>
            <w:r>
              <w:rPr>
                <w:rFonts w:hint="eastAsia" w:hAnsi="仿宋_GB2312" w:cs="仿宋_GB2312"/>
                <w:sz w:val="22"/>
                <w:szCs w:val="22"/>
                <w:highlight w:val="none"/>
              </w:rPr>
              <w:t>-</w:t>
            </w:r>
          </w:p>
        </w:tc>
        <w:tc>
          <w:tcPr>
            <w:tcW w:w="6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hAnsi="仿宋_GB2312" w:cs="仿宋_GB2312"/>
                <w:kern w:val="0"/>
                <w:sz w:val="22"/>
                <w:szCs w:val="22"/>
                <w:highlight w:val="none"/>
                <w:lang w:bidi="ar"/>
              </w:rPr>
            </w:pPr>
            <w:r>
              <w:rPr>
                <w:rFonts w:hint="eastAsia" w:hAnsi="仿宋_GB2312" w:cs="仿宋_GB2312"/>
                <w:kern w:val="0"/>
                <w:sz w:val="22"/>
                <w:szCs w:val="22"/>
                <w:highlight w:val="none"/>
                <w:lang w:bidi="ar"/>
              </w:rPr>
              <w:t>-</w:t>
            </w:r>
          </w:p>
        </w:tc>
        <w:tc>
          <w:tcPr>
            <w:tcW w:w="12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cs="仿宋_GB2312"/>
                <w:kern w:val="0"/>
                <w:sz w:val="22"/>
                <w:szCs w:val="22"/>
                <w:highlight w:val="none"/>
                <w:lang w:bidi="ar"/>
              </w:rPr>
            </w:pPr>
            <w:r>
              <w:rPr>
                <w:rFonts w:hint="eastAsia" w:ascii="仿宋_GB2312" w:hAnsi="仿宋_GB2312" w:cs="仿宋_GB2312"/>
                <w:kern w:val="0"/>
                <w:sz w:val="22"/>
                <w:szCs w:val="22"/>
                <w:highlight w:val="none"/>
                <w:lang w:bidi="ar"/>
              </w:rPr>
              <w:t>农业产业类-加工、流通类</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ind w:left="0" w:leftChars="0" w:firstLine="0" w:firstLineChars="0"/>
              <w:jc w:val="center"/>
              <w:rPr>
                <w:rFonts w:hint="eastAsia" w:ascii="仿宋_GB2312" w:hAnsi="仿宋_GB2312" w:eastAsia="仿宋_GB2312" w:cs="仿宋_GB2312"/>
                <w:highlight w:val="none"/>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textAlignment w:val="auto"/>
        <w:outlineLvl w:val="9"/>
        <w:rPr>
          <w:rFonts w:hint="eastAsia" w:ascii="楷体_GB2312" w:hAnsi="楷体_GB2312" w:eastAsia="楷体_GB2312" w:cs="楷体_GB2312"/>
        </w:rPr>
        <w:sectPr>
          <w:footerReference r:id="rId18" w:type="first"/>
          <w:footerReference r:id="rId17" w:type="default"/>
          <w:pgSz w:w="16838" w:h="11906" w:orient="landscape"/>
          <w:pgMar w:top="1531" w:right="1927" w:bottom="1304" w:left="1531" w:header="850" w:footer="1417" w:gutter="0"/>
          <w:pgNumType w:fmt="numberInDash"/>
          <w:cols w:space="720" w:num="1"/>
          <w:titlePg/>
          <w:rtlGutter w:val="0"/>
          <w:docGrid w:type="linesAndChars" w:linePitch="604" w:charSpace="-2374"/>
        </w:sect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5709" w:firstLineChars="1824"/>
        <w:textAlignment w:val="auto"/>
        <w:outlineLvl w:val="9"/>
        <w:rPr>
          <w:rFonts w:hint="eastAsia" w:ascii="楷体_GB2312" w:hAnsi="楷体_GB2312" w:eastAsia="楷体_GB2312" w:cs="楷体_GB2312"/>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5709" w:firstLineChars="1824"/>
        <w:textAlignment w:val="auto"/>
        <w:outlineLvl w:val="9"/>
        <w:rPr>
          <w:rFonts w:hint="eastAsia" w:ascii="楷体_GB2312" w:hAnsi="楷体_GB2312" w:eastAsia="楷体_GB2312" w:cs="楷体_GB2312"/>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5709" w:firstLineChars="1824"/>
        <w:textAlignment w:val="auto"/>
        <w:outlineLvl w:val="9"/>
        <w:rPr>
          <w:rFonts w:hint="eastAsia" w:ascii="楷体_GB2312" w:hAnsi="楷体_GB2312" w:eastAsia="楷体_GB2312" w:cs="楷体_GB2312"/>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5709" w:firstLineChars="1824"/>
        <w:textAlignment w:val="auto"/>
        <w:outlineLvl w:val="9"/>
        <w:rPr>
          <w:rFonts w:hint="eastAsia" w:ascii="楷体_GB2312" w:hAnsi="楷体_GB2312" w:eastAsia="楷体_GB2312" w:cs="楷体_GB2312"/>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5709" w:firstLineChars="1824"/>
        <w:textAlignment w:val="auto"/>
        <w:outlineLvl w:val="9"/>
        <w:rPr>
          <w:rFonts w:hint="eastAsia" w:ascii="楷体_GB2312" w:hAnsi="楷体_GB2312" w:eastAsia="楷体_GB2312" w:cs="楷体_GB2312"/>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黑体" w:eastAsia="黑体"/>
          <w:lang w:val="en-US" w:eastAsia="zh-CN"/>
        </w:rPr>
      </w:pPr>
      <w:r>
        <w:rPr>
          <w:rFonts w:hint="eastAsia" w:ascii="黑体" w:eastAsia="黑体"/>
        </w:rPr>
        <w:t>公开方式：</w:t>
      </w:r>
      <w:r>
        <w:rPr>
          <w:rFonts w:hint="eastAsia" w:ascii="仿宋_GB2312" w:hAnsi="仿宋_GB2312" w:eastAsia="仿宋_GB2312" w:cs="仿宋_GB2312"/>
          <w:lang w:eastAsia="zh-CN"/>
        </w:rPr>
        <w:t>主动公开</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435"/>
        <w:jc w:val="righ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0</wp:posOffset>
                </wp:positionV>
                <wp:extent cx="5646420"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564642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pt;margin-top:0pt;height:0pt;width:444.6pt;z-index:251659264;mso-width-relative:page;mso-height-relative:page;" filled="f" stroked="t" coordsize="21600,21600" o:gfxdata="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3t3ir9MAAAAEAQAADwAAAAAAAAABACAAAAAiAAAAZHJzL2Rvd25yZXYueG1sUEsBAhQAFAAA&#10;AAgAh07iQDJtDoL0AQAA5gMAAA4AAAAAAAAAAQAgAAAAIgEAAGRycy9lMm9Eb2MueG1sUEsFBgAA&#10;AAAGAAYAWQEAAIgFAAAAAA==&#10;">
                <v:fill on="f" focussize="0,0"/>
                <v:stroke color="#000000" joinstyle="round"/>
                <v:imagedata o:title=""/>
                <o:lock v:ext="edit" aspectratio="f"/>
              </v:line>
            </w:pict>
          </mc:Fallback>
        </mc:AlternateContent>
      </w: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rPr>
        <w:t>抄送：市委各部委办，市人大办，市政协办，茂名军分区，市中级人民</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ascii="仿宋_GB2312" w:hAnsi="仿宋_GB2312" w:eastAsia="仿宋_GB2312" w:cs="仿宋_GB2312"/>
          <w:sz w:val="28"/>
          <w:szCs w:val="28"/>
        </w:rPr>
      </w:pP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rPr>
        <w:t>法院，市人民检察院，武警茂名支队，中央、省驻茂单位，各人</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rPr>
          <w:rFonts w:hint="eastAsia"/>
          <w:sz w:val="28"/>
          <w:szCs w:val="28"/>
        </w:rPr>
      </w:pP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rPr>
        <w:t>民团体，各高等院校，各新闻单位。</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273" w:firstLineChars="100"/>
        <w:textAlignment w:val="auto"/>
        <w:outlineLvl w:val="9"/>
      </w:pPr>
      <w:r>
        <w:rPr>
          <w:rFonts w:hint="eastAsia"/>
          <w:sz w:val="28"/>
          <w:szCs w:val="28"/>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367665</wp:posOffset>
                </wp:positionV>
                <wp:extent cx="5646420" cy="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564642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75pt;margin-top:28.95pt;height:0pt;width:444.6pt;z-index:251661312;mso-width-relative:page;mso-height-relative:page;" filled="f" stroked="t" coordsize="21600,21600" o:gfxdata="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abYEa1wAAAAgBAAAPAAAAAAAAAAEAIAAAACIAAABkcnMvZG93bnJldi54bWxQSwEC&#10;FAAUAAAACACHTuJArw1KQvUBAADmAwAADgAAAAAAAAABACAAAAAmAQAAZHJzL2Uyb0RvYy54bWxQ&#10;SwUGAAAAAAYABgBZAQAAjQUAAAAA&#10;">
                <v:fill on="f" focussize="0,0"/>
                <v:stroke color="#000000" joinstyle="round"/>
                <v:imagedata o:title=""/>
                <o:lock v:ext="edit" aspectratio="f"/>
              </v:line>
            </w:pict>
          </mc:Fallback>
        </mc:AlternateContent>
      </w:r>
      <w:r>
        <w:rPr>
          <w:rFonts w:hint="eastAsia"/>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32385</wp:posOffset>
                </wp:positionV>
                <wp:extent cx="564642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64642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pt;margin-top:2.55pt;height:0pt;width:444.6pt;z-index:251660288;mso-width-relative:page;mso-height-relative:page;" filled="f" stroked="t" coordsize="21600,21600" o:gfxdata="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A5KRXVAAAABgEAAA8AAAAAAAAAAQAgAAAAIgAAAGRycy9kb3ducmV2LnhtbFBLAQIU&#10;ABQAAAAIAIdO4kAiWnoY9gEAAOQDAAAOAAAAAAAAAAEAIAAAACQBAABkcnMvZTJvRG9jLnhtbFBL&#10;BQYAAAAABgAGAFkBAACMBQAAAAA=&#10;">
                <v:fill on="f" focussize="0,0"/>
                <v:stroke color="#000000" joinstyle="round"/>
                <v:imagedata o:title=""/>
                <o:lock v:ext="edit" aspectratio="f"/>
              </v:line>
            </w:pict>
          </mc:Fallback>
        </mc:AlternateContent>
      </w:r>
      <w:r>
        <w:rPr>
          <w:rFonts w:hint="eastAsia"/>
          <w:sz w:val="28"/>
          <w:szCs w:val="28"/>
        </w:rPr>
        <w:t>茂名市人民政府办公室</w:t>
      </w:r>
      <w:r>
        <w:rPr>
          <w:rFonts w:hint="eastAsia"/>
          <w:sz w:val="28"/>
          <w:szCs w:val="28"/>
          <w:lang w:val="en-US" w:eastAsia="zh-CN"/>
        </w:rPr>
        <w:t xml:space="preserve">     </w:t>
      </w:r>
      <w:r>
        <w:rPr>
          <w:rFonts w:hint="eastAsia"/>
          <w:sz w:val="28"/>
          <w:szCs w:val="28"/>
        </w:rPr>
        <w:t xml:space="preserve">                20</w:t>
      </w:r>
      <w:r>
        <w:rPr>
          <w:rFonts w:hint="eastAsia"/>
          <w:sz w:val="28"/>
          <w:szCs w:val="28"/>
          <w:lang w:val="en-US" w:eastAsia="zh-CN"/>
        </w:rPr>
        <w:t>22</w:t>
      </w:r>
      <w:r>
        <w:rPr>
          <w:rFonts w:hint="eastAsia"/>
          <w:sz w:val="28"/>
          <w:szCs w:val="28"/>
        </w:rPr>
        <w:t>年</w:t>
      </w:r>
      <w:r>
        <w:rPr>
          <w:rFonts w:hint="eastAsia"/>
          <w:sz w:val="28"/>
          <w:szCs w:val="28"/>
          <w:lang w:val="en-US" w:eastAsia="zh-CN"/>
        </w:rPr>
        <w:t>9</w:t>
      </w:r>
      <w:r>
        <w:rPr>
          <w:rFonts w:hint="eastAsia"/>
          <w:sz w:val="28"/>
          <w:szCs w:val="28"/>
        </w:rPr>
        <w:t>月</w:t>
      </w:r>
      <w:r>
        <w:rPr>
          <w:rFonts w:hint="eastAsia"/>
          <w:sz w:val="28"/>
          <w:szCs w:val="28"/>
          <w:lang w:val="en-US" w:eastAsia="zh-CN"/>
        </w:rPr>
        <w:t>19</w:t>
      </w:r>
      <w:r>
        <w:rPr>
          <w:rFonts w:hint="eastAsia"/>
          <w:sz w:val="28"/>
          <w:szCs w:val="28"/>
        </w:rPr>
        <w:t>日印发</w:t>
      </w:r>
    </w:p>
    <w:p/>
    <w:sectPr>
      <w:pgSz w:w="11906" w:h="16838"/>
      <w:pgMar w:top="1928" w:right="1304" w:bottom="1531" w:left="1531" w:header="850" w:footer="1417" w:gutter="0"/>
      <w:pgNumType w:fmt="numberInDash"/>
      <w:cols w:space="720" w:num="1"/>
      <w:titlePg/>
      <w:rtlGutter w:val="0"/>
      <w:docGrid w:type="linesAndChars" w:linePitch="604" w:charSpace="-14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华光小标宋_CNKI">
    <w:altName w:val="宋体"/>
    <w:panose1 w:val="02000500000000000000"/>
    <w:charset w:val="00"/>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华文中宋">
    <w:altName w:val="宋体"/>
    <w:panose1 w:val="02010600040101010101"/>
    <w:charset w:val="00"/>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19050</wp:posOffset>
              </wp:positionV>
              <wp:extent cx="533400" cy="2305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- 7 -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8.15pt;width:42pt;mso-position-horizontal:outside;mso-position-horizontal-relative:margin;mso-wrap-style:none;z-index:251680768;mso-width-relative:page;mso-height-relative:page;" filled="f" stroked="f" coordsize="21600,21600" o:gfxdata="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dptwDRAAAABAEAAA8AAAAAAAAAAQAgAAAAIgAAAGRycy9kb3du&#10;cmV2LnhtbFBLAQIUABQAAAAIAIdO4kAqdIBHzQEAAJcDAAAOAAAAAAAAAAEAIAAAACABAABkcnMv&#10;ZTJvRG9jLnhtbFBLBQYAAAAABgAGAFkBAABf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- 7 -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5408" behindDoc="0" locked="0" layoutInCell="1" allowOverlap="1">
              <wp:simplePos x="0" y="0"/>
              <wp:positionH relativeFrom="margin">
                <wp:align>inside</wp:align>
              </wp:positionH>
              <wp:positionV relativeFrom="paragraph">
                <wp:posOffset>49530</wp:posOffset>
              </wp:positionV>
              <wp:extent cx="623570" cy="2114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3570" cy="211455"/>
                      </a:xfrm>
                      <a:prstGeom prst="rect">
                        <a:avLst/>
                      </a:prstGeom>
                      <a:noFill/>
                      <a:ln>
                        <a:noFill/>
                      </a:ln>
                    </wps:spPr>
                    <wps:txbx>
                      <w:txbxContent>
                        <w:p>
                          <w:pPr>
                            <w:pStyle w:val="9"/>
                            <w:jc w:val="both"/>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lIns="0" tIns="0" rIns="0" bIns="0" upright="0"/>
                  </wps:wsp>
                </a:graphicData>
              </a:graphic>
            </wp:anchor>
          </w:drawing>
        </mc:Choice>
        <mc:Fallback>
          <w:pict>
            <v:shape id="_x0000_s1026" o:spid="_x0000_s1026" o:spt="202" type="#_x0000_t202" style="position:absolute;left:0pt;margin-top:3.9pt;height:16.65pt;width:49.1pt;mso-position-horizontal:inside;mso-position-horizontal-relative:margin;z-index:251665408;mso-width-relative:page;mso-height-relative:page;" filled="f" stroked="f" coordsize="21600,21600" o:gfxdata="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jNn/HVAAAABAEAAA8AAAAAAAAAAQAgAAAAIgAAAGRycy9kb3ducmV2LnhtbFBLAQIUABQA&#10;AAAIAIdO4kC7OUNaugEAAHEDAAAOAAAAAAAAAAEAIAAAACQBAABkcnMvZTJvRG9jLnhtbFBLBQYA&#10;AAAABgAGAFkBAABQBQAAAAA=&#10;">
              <v:fill on="f" focussize="0,0"/>
              <v:stroke on="f"/>
              <v:imagedata o:title=""/>
              <o:lock v:ext="edit" aspectratio="f"/>
              <v:textbox inset="0mm,0mm,0mm,0mm">
                <w:txbxContent>
                  <w:p>
                    <w:pPr>
                      <w:pStyle w:val="9"/>
                      <w:jc w:val="both"/>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2" w:lineRule="exact"/>
      <w:rPr>
        <w:rFonts w:ascii="仿宋" w:hAnsi="仿宋" w:eastAsia="仿宋" w:cs="仿宋"/>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- 26 -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- 26 -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9" name="矩形 1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- 137 -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Y+JH+MABAACOAwAADgAAAAAAAAABACAAAAAfAQAAZHJzL2Uyb0RvYy54bWxQSwUG&#10;AAAAAAYABgBZAQAAUQU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- 137 -</w:t>
                    </w:r>
                    <w:r>
                      <w:rPr>
                        <w:rFonts w:hint="eastAsia" w:ascii="宋体" w:hAnsi="宋体" w:eastAsia="宋体" w:cs="宋体"/>
                        <w:sz w:val="28"/>
                        <w:szCs w:val="28"/>
                        <w:lang w:eastAsia="zh-CN"/>
                      </w:rPr>
                      <w:fldChar w:fldCharType="end"/>
                    </w:r>
                  </w:p>
                </w:txbxContent>
              </v:textbox>
            </v:rect>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2" name="矩形 1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- 136 -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8C2sFsABAACOAwAADgAAAAAAAAABACAAAAAfAQAAZHJzL2Uyb0RvYy54bWxQSwUG&#10;AAAAAAYABgBZAQAAUQU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- 136 -</w:t>
                    </w:r>
                    <w:r>
                      <w:rPr>
                        <w:rFonts w:hint="eastAsia" w:ascii="宋体" w:hAnsi="宋体" w:eastAsia="宋体" w:cs="宋体"/>
                        <w:sz w:val="28"/>
                        <w:szCs w:val="28"/>
                        <w:lang w:eastAsia="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yWM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OwyWMoBAACbAwAADgAAAAAAAAABACAAAAAeAQAAZHJzL2Uyb0Rv&#10;Yy54bWxQSwUGAAAAAAYABgBZAQAAWgU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2336" behindDoc="0" locked="0" layoutInCell="1" allowOverlap="1">
              <wp:simplePos x="0" y="0"/>
              <wp:positionH relativeFrom="margin">
                <wp:posOffset>5226685</wp:posOffset>
              </wp:positionH>
              <wp:positionV relativeFrom="paragraph">
                <wp:posOffset>19050</wp:posOffset>
              </wp:positionV>
              <wp:extent cx="533400" cy="23050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411.55pt;margin-top:1.5pt;height:18.15pt;width:42pt;mso-position-horizontal-relative:margin;mso-wrap-style:none;z-index:251662336;mso-width-relative:page;mso-height-relative:page;" filled="f" stroked="f" coordsize="21600,21600" o:gfxdata="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hVGZvTAAAACAEAAA8AAAAAAAAAAQAgAAAAIgAAAGRycy9k&#10;b3ducmV2LnhtbFBLAQIUABQAAAAIAIdO4kCYR47ezgEAAJkDAAAOAAAAAAAAAAEAIAAAACIBAABk&#10;cnMvZTJvRG9jLnhtbFBLBQYAAAAABgAGAFkBAABi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19050</wp:posOffset>
              </wp:positionV>
              <wp:extent cx="533400" cy="23050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8.15pt;width:42pt;mso-position-horizontal:left;mso-position-horizontal-relative:margin;mso-wrap-style:none;z-index:251670528;mso-width-relative:page;mso-height-relative:page;" filled="f" stroked="f" coordsize="21600,21600" o:gfxdata="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dptwDRAAAABAEAAA8AAAAAAAAAAQAgAAAAIgAAAGRycy9kb3du&#10;cmV2LnhtbFBLAQIUABQAAAAIAIdO4kCbxs1/zQEAAJkDAAAOAAAAAAAAAAEAIAAAACABAABkcnMv&#10;ZTJvRG9jLnhtbFBLBQYAAAAABgAGAFkBAABf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m7Fqco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dvKXHc4sTPP3+cfz2eH74T&#10;9KFAfYAa8+4CZqbhvR9wbWY/oDPzHlS0+YuMCMZR3tNFXjkkIvKj1XK1qjAkMDZfEJ89PQ8R0gfp&#10;LclGQyPOr8jKj58gjalzSq7m/K02pszQuL8ciJk9LPc+9pitNOyGidDOtyfk0+PoG+pw0ykxHx0q&#10;m7dkNuJs7GbjEKLed2WNcj0I7w4Jmyi95Qoj7FQYZ1bYTfuVl+LPe8l6+qc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m7FqcoBAACbAwAADgAAAAAAAAABACAAAAAeAQAAZHJzL2Uyb0Rv&#10;Yy54bWxQSwUGAAAAAAYABgBZAQAAWgU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72576" behindDoc="0" locked="0" layoutInCell="1" allowOverlap="1">
              <wp:simplePos x="0" y="0"/>
              <wp:positionH relativeFrom="margin">
                <wp:posOffset>5226685</wp:posOffset>
              </wp:positionH>
              <wp:positionV relativeFrom="paragraph">
                <wp:posOffset>19050</wp:posOffset>
              </wp:positionV>
              <wp:extent cx="533400" cy="23050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- 3 -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411.55pt;margin-top:1.5pt;height:18.15pt;width:42pt;mso-position-horizontal-relative:margin;mso-wrap-style:none;z-index:251672576;mso-width-relative:page;mso-height-relative:page;" filled="f" stroked="f" coordsize="21600,21600" o:gfxdata="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oVRmb0wAAAAgBAAAPAAAAAAAAAAEAIAAAACIAAABkcnMvZG93&#10;bnJldi54bWxQSwECFAAUAAAACACHTuJA2Pe+VMwBAACZAwAADgAAAAAAAAABACAAAAAiAQAAZHJz&#10;L2Uyb0RvYy54bWxQSwUGAAAAAAYABgBZAQAAYAU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- 3 -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19050</wp:posOffset>
              </wp:positionV>
              <wp:extent cx="533400" cy="23050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- 4 -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8.15pt;width:42pt;mso-position-horizontal:left;mso-position-horizontal-relative:margin;mso-wrap-style:none;z-index:251674624;mso-width-relative:page;mso-height-relative:page;" filled="f" stroked="f" coordsize="21600,21600" o:gfxdata="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dptwDRAAAABAEAAA8AAAAAAAAAAQAgAAAAIgAAAGRycy9kb3du&#10;cmV2LnhtbFBLAQIUABQAAAAIAIdO4kCO2qBQzQEAAJkDAAAOAAAAAAAAAAEAIAAAACABAABkcnMv&#10;ZTJvRG9jLnhtbFBLBQYAAAAABgAGAFkBAABf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- 4 -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19050</wp:posOffset>
              </wp:positionV>
              <wp:extent cx="533400" cy="23050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- 5 -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8.15pt;width:42pt;mso-position-horizontal:outside;mso-position-horizontal-relative:margin;mso-wrap-style:none;z-index:251676672;mso-width-relative:page;mso-height-relative:page;" filled="f" stroked="f" coordsize="21600,21600" o:gfxdata="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dptwDRAAAABAEAAA8AAAAAAAAAAQAgAAAAIgAAAGRycy9kb3du&#10;cmV2LnhtbFBLAQIUABQAAAAIAIdO4kB0rYJczQEAAJkDAAAOAAAAAAAAAAEAIAAAACABAABkcnMv&#10;ZTJvRG9jLnhtbFBLBQYAAAAABgAGAFkBAABf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- 5 -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19050</wp:posOffset>
              </wp:positionV>
              <wp:extent cx="533400" cy="23050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- 6 -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8.15pt;width:42pt;mso-position-horizontal:outside;mso-position-horizontal-relative:margin;mso-wrap-style:none;z-index:251678720;mso-width-relative:page;mso-height-relative:page;" filled="f" stroked="f" coordsize="21600,21600" o:gfxdata="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dptwDRAAAABAEAAA8AAAAAAAAAAQAgAAAAIgAAAGRycy9kb3du&#10;cmV2LnhtbFBLAQIUABQAAAAIAIdO4kB5tKfpzQEAAJkDAAAOAAAAAAAAAAEAIAAAACABAABkcnMv&#10;ZTJvRG9jLnhtbFBLBQYAAAAABgAGAFkBAABf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- 6 -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pPr>
                      <w:pStyle w:val="9"/>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r>
        <w:separator/>
      </w:r>
    </w:p>
  </w:footnote>
  <w:footnote w:type="continuationSeparator" w:id="29">
    <w:p>
      <w:r>
        <w:continuationSeparator/>
      </w:r>
    </w:p>
  </w:footnote>
  <w:footnote w:id="0">
    <w:p>
      <w:pPr>
        <w:pStyle w:val="11"/>
        <w:rPr>
          <w:rFonts w:hint="eastAsia"/>
        </w:rPr>
      </w:pPr>
      <w:r>
        <w:rPr>
          <w:rStyle w:val="16"/>
        </w:rPr>
        <w:footnoteRef/>
      </w:r>
      <w:r>
        <w:t xml:space="preserve"> </w:t>
      </w:r>
      <w:r>
        <w:rPr>
          <w:rFonts w:hint="eastAsia"/>
        </w:rPr>
        <w:t>2020年农产品数据来源于《茂名统计年鉴2021》“第二部分 统计资料”。</w:t>
      </w:r>
    </w:p>
  </w:footnote>
  <w:footnote w:id="1">
    <w:p>
      <w:pPr>
        <w:pStyle w:val="11"/>
        <w:rPr>
          <w:rFonts w:hint="eastAsia"/>
        </w:rPr>
      </w:pPr>
      <w:r>
        <w:rPr>
          <w:rStyle w:val="16"/>
        </w:rPr>
        <w:footnoteRef/>
      </w:r>
      <w:r>
        <w:t xml:space="preserve"> </w:t>
      </w:r>
      <w:r>
        <w:rPr>
          <w:rFonts w:hint="eastAsia"/>
        </w:rPr>
        <w:t>该数据包含2020年度申报成功的市级重点农业龙头企业。</w:t>
      </w:r>
    </w:p>
  </w:footnote>
  <w:footnote w:id="2">
    <w:p>
      <w:pPr>
        <w:pStyle w:val="11"/>
        <w:rPr>
          <w:rFonts w:hint="eastAsia"/>
        </w:rPr>
      </w:pPr>
      <w:r>
        <w:rPr>
          <w:rStyle w:val="16"/>
        </w:rPr>
        <w:footnoteRef/>
      </w:r>
      <w:r>
        <w:t xml:space="preserve"> </w:t>
      </w:r>
      <w:r>
        <w:rPr>
          <w:rFonts w:hint="eastAsia"/>
        </w:rPr>
        <w:t>《茂名市国民经济和社会发展第十四个五年规划和 2035 年远景目标纲要》农民</w:t>
      </w:r>
      <w:r>
        <w:rPr>
          <w:rFonts w:hint="eastAsia" w:eastAsia="宋体"/>
          <w:sz w:val="18"/>
          <w:szCs w:val="24"/>
        </w:rPr>
        <w:t>合作社</w:t>
      </w:r>
      <w:r>
        <w:rPr>
          <w:rFonts w:hint="eastAsia"/>
        </w:rPr>
        <w:t>数据为2020年下半年统计，此处该数据统计时间截至为2020年12月31日。</w:t>
      </w:r>
    </w:p>
  </w:footnote>
  <w:footnote w:id="3">
    <w:p>
      <w:pPr>
        <w:pStyle w:val="11"/>
        <w:rPr>
          <w:rFonts w:hint="eastAsia"/>
        </w:rPr>
      </w:pPr>
      <w:r>
        <w:rPr>
          <w:rStyle w:val="16"/>
        </w:rPr>
        <w:footnoteRef/>
      </w:r>
      <w:r>
        <w:t xml:space="preserve"> </w:t>
      </w:r>
      <w:r>
        <w:rPr>
          <w:rFonts w:hint="eastAsia"/>
        </w:rPr>
        <w:t>《茂名市国民经济和社会发展第十四个 五年规划和 2035 年远景目标纲要》的家庭农场数为2020年初数据，此处为2020年年底数据。</w:t>
      </w:r>
    </w:p>
  </w:footnote>
  <w:footnote w:id="4">
    <w:p>
      <w:pPr>
        <w:pStyle w:val="11"/>
        <w:rPr>
          <w:rFonts w:hint="eastAsia"/>
        </w:rPr>
      </w:pPr>
      <w:r>
        <w:rPr>
          <w:rStyle w:val="16"/>
        </w:rPr>
        <w:footnoteRef/>
      </w:r>
      <w:r>
        <w:t xml:space="preserve"> </w:t>
      </w:r>
      <w:r>
        <w:rPr>
          <w:rFonts w:hint="eastAsia"/>
        </w:rPr>
        <w:t>“6+8”现代农业产业发展格局：“6”指1个国家优势特色产业集群（广东罗非鱼产业集群）、2国家现代农业产业园（荔枝、化橘红）、2个国家级田园综合体试点、1个国家农业科技园区，“8”指8个省级现代农业产业园。</w:t>
      </w:r>
    </w:p>
  </w:footnote>
  <w:footnote w:id="5">
    <w:p>
      <w:pPr>
        <w:pStyle w:val="11"/>
        <w:rPr>
          <w:rFonts w:hint="eastAsia"/>
        </w:rPr>
      </w:pPr>
      <w:r>
        <w:rPr>
          <w:rStyle w:val="16"/>
        </w:rPr>
        <w:footnoteRef/>
      </w:r>
      <w:r>
        <w:t xml:space="preserve"> </w:t>
      </w:r>
      <w:r>
        <w:rPr>
          <w:rFonts w:hint="eastAsia"/>
        </w:rPr>
        <w:t>畜禽粪污综合利用率2025年目标值为80，该目标与《广东省推进农业农村现代化“十四五”规划》（粤府〔2021〕56 号）设置一致。</w:t>
      </w:r>
    </w:p>
  </w:footnote>
  <w:footnote w:id="6">
    <w:p>
      <w:pPr>
        <w:pStyle w:val="11"/>
      </w:pPr>
      <w:r>
        <w:rPr>
          <w:rStyle w:val="16"/>
        </w:rPr>
        <w:footnoteRef/>
      </w:r>
      <w:r>
        <w:rPr>
          <w:rFonts w:hint="eastAsia"/>
        </w:rPr>
        <w:t xml:space="preserve"> “四张牌”指“产业、市场、科技、文化”四张牌。</w:t>
      </w:r>
    </w:p>
  </w:footnote>
  <w:footnote w:id="7">
    <w:p>
      <w:pPr>
        <w:pStyle w:val="11"/>
      </w:pPr>
      <w:r>
        <w:rPr>
          <w:rStyle w:val="16"/>
        </w:rPr>
        <w:footnoteRef/>
      </w:r>
      <w:r>
        <w:t xml:space="preserve"> </w:t>
      </w:r>
      <w:r>
        <w:rPr>
          <w:rFonts w:hint="eastAsia"/>
        </w:rPr>
        <w:t>“一会一址一馆一圃一网一站”：“一会”指中国荔枝产业大会；“一址”指中国荔枝产业大会会址；“一馆”指中国荔枝博览馆；“一圃”是指国家荔枝种质资源圃；“一网”指中国（广东）荔枝产业大数据中心；“一站”指田头小站。</w:t>
      </w:r>
    </w:p>
  </w:footnote>
  <w:footnote w:id="8">
    <w:p>
      <w:pPr>
        <w:pStyle w:val="11"/>
        <w:rPr>
          <w:rFonts w:hint="eastAsia"/>
        </w:rPr>
      </w:pPr>
      <w:r>
        <w:rPr>
          <w:rStyle w:val="16"/>
        </w:rPr>
        <w:footnoteRef/>
      </w:r>
      <w:r>
        <w:t xml:space="preserve"> </w:t>
      </w:r>
      <w:r>
        <w:rPr>
          <w:rFonts w:hint="eastAsia"/>
        </w:rPr>
        <w:t>原名称为粤西（茂名）空港经济区，现名称为临空经济区。</w:t>
      </w:r>
    </w:p>
  </w:footnote>
  <w:footnote w:id="9">
    <w:p>
      <w:pPr>
        <w:pStyle w:val="11"/>
        <w:rPr>
          <w:rFonts w:hint="eastAsia"/>
        </w:rPr>
      </w:pPr>
      <w:r>
        <w:rPr>
          <w:rStyle w:val="16"/>
        </w:rPr>
        <w:footnoteRef/>
      </w:r>
      <w:r>
        <w:t xml:space="preserve"> </w:t>
      </w:r>
      <w:r>
        <w:rPr>
          <w:rFonts w:hint="eastAsia"/>
        </w:rPr>
        <w:t>“两个不低于或高于”：中小学教师平均工资收入水平不低于或高于当地公务员平均工资收入水平，农村教师平均工资收入水平不低于或高于城镇教师平均工资收入水平。</w:t>
      </w:r>
    </w:p>
  </w:footnote>
  <w:footnote w:id="10">
    <w:p>
      <w:pPr>
        <w:pStyle w:val="11"/>
        <w:rPr>
          <w:rFonts w:hint="eastAsia"/>
        </w:rPr>
      </w:pPr>
      <w:r>
        <w:rPr>
          <w:rStyle w:val="16"/>
        </w:rPr>
        <w:footnoteRef/>
      </w:r>
      <w:r>
        <w:t xml:space="preserve"> </w:t>
      </w:r>
      <w:r>
        <w:rPr>
          <w:rFonts w:hint="eastAsia"/>
        </w:rPr>
        <w:t>“四议两公开”：即村党组织提议、村“两委”会议商议、党员大会审议、村民会议或者村民代表会议决议，决议公开、实施结果公开。</w:t>
      </w:r>
    </w:p>
  </w:footnote>
  <w:footnote w:id="11">
    <w:p>
      <w:pPr>
        <w:pStyle w:val="11"/>
      </w:pPr>
      <w:r>
        <w:rPr>
          <w:rStyle w:val="16"/>
        </w:rPr>
        <w:footnoteRef/>
      </w:r>
      <w:r>
        <w:t xml:space="preserve"> </w:t>
      </w:r>
      <w:r>
        <w:rPr>
          <w:rFonts w:hint="eastAsia"/>
        </w:rPr>
        <w:t>“十个有”：有组织体系、有大喇叭、有警报器、有避难场所、有风险地图、有明白卡、有应急值守、有应急照明、有小册子、有宣传栏。</w:t>
      </w:r>
    </w:p>
  </w:footnote>
  <w:footnote w:id="12">
    <w:p>
      <w:pPr>
        <w:pStyle w:val="11"/>
        <w:rPr>
          <w:rFonts w:hint="eastAsia"/>
        </w:rPr>
      </w:pPr>
      <w:r>
        <w:rPr>
          <w:rStyle w:val="16"/>
        </w:rPr>
        <w:footnoteRef/>
      </w:r>
      <w:r>
        <w:t xml:space="preserve"> </w:t>
      </w:r>
      <w:r>
        <w:rPr>
          <w:rFonts w:hint="eastAsia"/>
        </w:rPr>
        <w:t>“四不摘”：摘帽不摘责任、摘帽不摘政策、摘帽不摘帮扶、摘帽不摘监管。</w:t>
      </w:r>
    </w:p>
  </w:footnote>
  <w:footnote w:id="13">
    <w:p>
      <w:pPr>
        <w:pStyle w:val="11"/>
        <w:rPr>
          <w:rFonts w:hint="eastAsia"/>
        </w:rPr>
      </w:pPr>
      <w:r>
        <w:rPr>
          <w:rStyle w:val="16"/>
        </w:rPr>
        <w:footnoteRef/>
      </w:r>
      <w:r>
        <w:t xml:space="preserve"> </w:t>
      </w:r>
      <w:r>
        <w:rPr>
          <w:rFonts w:hint="eastAsia"/>
        </w:rPr>
        <w:t>“万企兴万村”是“万企帮万村”在全面乡村振兴时期的升级，全国“万企兴万村”行动启动大会于2021年7月16日在山东潍坊召开。《</w:t>
      </w:r>
      <w:r>
        <w:rPr>
          <w:rFonts w:hint="eastAsia" w:ascii="Times New Roman" w:hAnsi="Times New Roman" w:cs="Times New Roman"/>
          <w:sz w:val="18"/>
        </w:rPr>
        <w:t>广东省推进农业农村现代化“十四五”规划</w:t>
      </w:r>
      <w:r>
        <w:rPr>
          <w:rFonts w:hint="eastAsia"/>
        </w:rPr>
        <w:t>》第106页提到“实施‘千企帮千镇’‘万企兴万村’行动，推动脱贫攻坚工作体系全面转向乡村振兴”。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8"/>
      <w:numFmt w:val="chineseCounting"/>
      <w:suff w:val="space"/>
      <w:lvlText w:val="第%1章"/>
      <w:lvlJc w:val="left"/>
    </w:lvl>
  </w:abstractNum>
  <w:abstractNum w:abstractNumId="1">
    <w:nsid w:val="00000007"/>
    <w:multiLevelType w:val="singleLevel"/>
    <w:tmpl w:val="00000007"/>
    <w:lvl w:ilvl="0" w:tentative="0">
      <w:start w:val="6"/>
      <w:numFmt w:val="chineseCounting"/>
      <w:suff w:val="space"/>
      <w:lvlText w:val="第%1章"/>
      <w:lvlJc w:val="left"/>
    </w:lvl>
  </w:abstractNum>
  <w:abstractNum w:abstractNumId="2">
    <w:nsid w:val="00000009"/>
    <w:multiLevelType w:val="singleLevel"/>
    <w:tmpl w:val="00000009"/>
    <w:lvl w:ilvl="0" w:tentative="0">
      <w:start w:val="1"/>
      <w:numFmt w:val="decimal"/>
      <w:lvlText w:val=" %1"/>
      <w:lvlJc w:val="left"/>
      <w:pPr>
        <w:tabs>
          <w:tab w:val="left" w:pos="420"/>
        </w:tabs>
        <w:ind w:left="425" w:hanging="425"/>
      </w:pPr>
      <w:rPr>
        <w:rFonts w:hint="default"/>
        <w:highlight w:val="none"/>
      </w:rPr>
    </w:lvl>
  </w:abstractNum>
  <w:abstractNum w:abstractNumId="3">
    <w:nsid w:val="0000000B"/>
    <w:multiLevelType w:val="singleLevel"/>
    <w:tmpl w:val="0000000B"/>
    <w:lvl w:ilvl="0" w:tentative="0">
      <w:start w:val="1"/>
      <w:numFmt w:val="decimal"/>
      <w:lvlText w:val=" %1"/>
      <w:lvlJc w:val="left"/>
      <w:pPr>
        <w:tabs>
          <w:tab w:val="left" w:pos="420"/>
        </w:tabs>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28"/>
    <w:footnote w:id="2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yOWVlZGNiZDhjNGM4MDc2ODgzZjQ5MzllOTg3NTgifQ=="/>
  </w:docVars>
  <w:rsids>
    <w:rsidRoot w:val="1D3115A2"/>
    <w:rsid w:val="05946CF7"/>
    <w:rsid w:val="1D3115A2"/>
    <w:rsid w:val="34C55A1B"/>
    <w:rsid w:val="64704E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仿宋_GB2312" w:hAnsi="宋体" w:eastAsia="仿宋_GB2312" w:cs="宋体"/>
      <w:kern w:val="2"/>
      <w:sz w:val="32"/>
      <w:szCs w:val="32"/>
      <w:lang w:val="en-US" w:eastAsia="zh-CN" w:bidi="ar-SA"/>
    </w:rPr>
  </w:style>
  <w:style w:type="paragraph" w:styleId="4">
    <w:name w:val="heading 1"/>
    <w:basedOn w:val="1"/>
    <w:next w:val="1"/>
    <w:qFormat/>
    <w:uiPriority w:val="0"/>
    <w:pPr>
      <w:keepNext/>
      <w:keepLines/>
      <w:spacing w:before="340" w:beforeLines="0" w:after="330" w:afterLines="0" w:line="578" w:lineRule="auto"/>
      <w:outlineLvl w:val="0"/>
    </w:pPr>
    <w:rPr>
      <w:rFonts w:ascii="Times New Roman" w:hAnsi="Times New Roman" w:eastAsia="黑体"/>
      <w:b/>
      <w:bCs/>
      <w:kern w:val="44"/>
      <w:sz w:val="30"/>
      <w:szCs w:val="44"/>
    </w:rPr>
  </w:style>
  <w:style w:type="paragraph" w:styleId="5">
    <w:name w:val="heading 2"/>
    <w:basedOn w:val="1"/>
    <w:next w:val="1"/>
    <w:qFormat/>
    <w:uiPriority w:val="0"/>
    <w:pPr>
      <w:keepNext/>
      <w:keepLines/>
      <w:spacing w:before="260" w:beforeLines="0" w:after="260" w:afterLines="0" w:line="416" w:lineRule="auto"/>
      <w:outlineLvl w:val="1"/>
    </w:pPr>
    <w:rPr>
      <w:rFonts w:ascii="Cambria" w:hAnsi="Cambria" w:eastAsia="仿宋"/>
      <w:b/>
      <w:bCs/>
      <w:kern w:val="0"/>
      <w:sz w:val="30"/>
      <w:szCs w:val="32"/>
    </w:rPr>
  </w:style>
  <w:style w:type="paragraph" w:styleId="6">
    <w:name w:val="heading 3"/>
    <w:basedOn w:val="1"/>
    <w:next w:val="1"/>
    <w:uiPriority w:val="0"/>
    <w:pPr>
      <w:keepNext/>
      <w:keepLines/>
      <w:spacing w:before="260" w:beforeLines="0" w:after="260" w:afterLines="0" w:line="416" w:lineRule="auto"/>
      <w:outlineLvl w:val="2"/>
    </w:pPr>
    <w:rPr>
      <w:rFonts w:ascii="Times New Roman" w:hAnsi="Times New Roman"/>
      <w:b/>
      <w:bCs/>
      <w:sz w:val="32"/>
      <w:szCs w:val="32"/>
    </w:rPr>
  </w:style>
  <w:style w:type="character" w:default="1" w:styleId="15">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adjustRightInd w:val="0"/>
      <w:snapToGrid w:val="0"/>
      <w:spacing w:line="360" w:lineRule="auto"/>
      <w:ind w:firstLine="420" w:firstLineChars="200"/>
    </w:pPr>
    <w:rPr>
      <w:rFonts w:ascii="Times New Roman" w:hAnsi="Times New Roman" w:eastAsia="仿宋"/>
      <w:sz w:val="30"/>
    </w:rPr>
  </w:style>
  <w:style w:type="paragraph" w:styleId="3">
    <w:name w:val="Body Text Indent"/>
    <w:basedOn w:val="1"/>
    <w:qFormat/>
    <w:uiPriority w:val="0"/>
    <w:pPr>
      <w:spacing w:after="120" w:afterLines="0"/>
      <w:ind w:left="420" w:leftChars="200"/>
    </w:pPr>
  </w:style>
  <w:style w:type="paragraph" w:styleId="7">
    <w:name w:val="Body Text"/>
    <w:basedOn w:val="1"/>
    <w:next w:val="1"/>
    <w:qFormat/>
    <w:uiPriority w:val="0"/>
    <w:pPr>
      <w:spacing w:after="120" w:afterLines="0"/>
    </w:pPr>
  </w:style>
  <w:style w:type="paragraph" w:styleId="8">
    <w:name w:val="toc 3"/>
    <w:basedOn w:val="1"/>
    <w:next w:val="1"/>
    <w:link w:val="19"/>
    <w:qFormat/>
    <w:uiPriority w:val="0"/>
    <w:pPr>
      <w:ind w:left="840" w:leftChars="400"/>
    </w:pPr>
    <w:rPr>
      <w:rFonts w:ascii="Times New Roman" w:hAnsi="Times New Roman" w:eastAsia="仿宋"/>
      <w:sz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rPr>
      <w:rFonts w:ascii="Times New Roman" w:hAnsi="Times New Roman" w:eastAsia="华光小标宋_CNKI"/>
      <w:sz w:val="30"/>
    </w:rPr>
  </w:style>
  <w:style w:type="paragraph" w:styleId="11">
    <w:name w:val="footnote text"/>
    <w:basedOn w:val="1"/>
    <w:qFormat/>
    <w:uiPriority w:val="0"/>
    <w:pPr>
      <w:snapToGrid w:val="0"/>
      <w:jc w:val="left"/>
    </w:pPr>
    <w:rPr>
      <w:sz w:val="18"/>
    </w:rPr>
  </w:style>
  <w:style w:type="paragraph" w:styleId="12">
    <w:name w:val="toc 2"/>
    <w:basedOn w:val="1"/>
    <w:next w:val="1"/>
    <w:qFormat/>
    <w:uiPriority w:val="0"/>
    <w:pPr>
      <w:ind w:left="420" w:leftChars="200"/>
    </w:pPr>
    <w:rPr>
      <w:rFonts w:ascii="Times New Roman" w:hAnsi="Times New Roman" w:eastAsia="楷体"/>
      <w:sz w:val="30"/>
    </w:rPr>
  </w:style>
  <w:style w:type="paragraph" w:styleId="13">
    <w:name w:val="Normal (Web)"/>
    <w:basedOn w:val="1"/>
    <w:qFormat/>
    <w:uiPriority w:val="0"/>
    <w:pPr>
      <w:jc w:val="left"/>
    </w:pPr>
    <w:rPr>
      <w:kern w:val="0"/>
      <w:sz w:val="24"/>
    </w:rPr>
  </w:style>
  <w:style w:type="character" w:styleId="16">
    <w:name w:val="footnote reference"/>
    <w:basedOn w:val="15"/>
    <w:qFormat/>
    <w:uiPriority w:val="0"/>
    <w:rPr>
      <w:vertAlign w:val="superscript"/>
    </w:rPr>
  </w:style>
  <w:style w:type="paragraph" w:customStyle="1" w:styleId="17">
    <w:name w:val="Body Text First Indent 2"/>
    <w:basedOn w:val="18"/>
    <w:qFormat/>
    <w:uiPriority w:val="0"/>
    <w:pPr>
      <w:spacing w:after="0" w:afterLines="0" w:line="600" w:lineRule="exact"/>
      <w:ind w:left="0" w:leftChars="0" w:firstLine="420" w:firstLineChars="200"/>
    </w:pPr>
    <w:rPr>
      <w:rFonts w:ascii="方正仿宋_GB2312" w:eastAsia="方正仿宋_GB2312"/>
      <w:sz w:val="32"/>
    </w:rPr>
  </w:style>
  <w:style w:type="paragraph" w:customStyle="1" w:styleId="18">
    <w:name w:val="Body Text Indent"/>
    <w:basedOn w:val="1"/>
    <w:qFormat/>
    <w:uiPriority w:val="0"/>
    <w:pPr>
      <w:spacing w:after="120" w:afterLines="0"/>
      <w:ind w:left="420" w:leftChars="200"/>
    </w:pPr>
    <w:rPr>
      <w:rFonts w:ascii="Calibri" w:hAnsi="Calibri" w:eastAsia="宋体" w:cs="黑体"/>
      <w:szCs w:val="24"/>
    </w:rPr>
  </w:style>
  <w:style w:type="character" w:customStyle="1" w:styleId="19">
    <w:name w:val="目录 3 Char Char"/>
    <w:link w:val="8"/>
    <w:qFormat/>
    <w:uiPriority w:val="0"/>
    <w:rPr>
      <w:rFonts w:ascii="Times New Roman" w:hAnsi="Times New Roman" w:eastAsia="仿宋"/>
      <w:sz w:val="28"/>
    </w:rPr>
  </w:style>
  <w:style w:type="paragraph" w:customStyle="1" w:styleId="20">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Body text|1"/>
    <w:basedOn w:val="1"/>
    <w:qFormat/>
    <w:uiPriority w:val="0"/>
    <w:pPr>
      <w:widowControl w:val="0"/>
      <w:shd w:val="clear" w:color="auto" w:fill="auto"/>
      <w:spacing w:after="280" w:afterLines="0"/>
      <w:ind w:firstLine="400"/>
    </w:pPr>
    <w:rPr>
      <w:rFonts w:ascii="宋体" w:hAnsi="宋体" w:eastAsia="宋体" w:cs="宋体"/>
      <w:sz w:val="30"/>
      <w:szCs w:val="30"/>
      <w:u w:val="none"/>
      <w:shd w:val="clear" w:color="auto" w:fill="auto"/>
      <w:lang w:val="zh-TW" w:eastAsia="zh-TW" w:bidi="zh-TW"/>
    </w:rPr>
  </w:style>
  <w:style w:type="paragraph" w:customStyle="1" w:styleId="22">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4">
    <w:name w:val="font11"/>
    <w:basedOn w:val="15"/>
    <w:qFormat/>
    <w:uiPriority w:val="0"/>
    <w:rPr>
      <w:rFonts w:ascii="宋体" w:hAnsi="宋体" w:eastAsia="宋体" w:cs="宋体"/>
      <w:color w:val="000000"/>
      <w:sz w:val="22"/>
      <w:szCs w:val="22"/>
      <w:u w:val="none"/>
    </w:rPr>
  </w:style>
  <w:style w:type="character" w:customStyle="1" w:styleId="25">
    <w:name w:val="font71"/>
    <w:basedOn w:val="15"/>
    <w:qFormat/>
    <w:uiPriority w:val="0"/>
    <w:rPr>
      <w:rFonts w:hint="eastAsia" w:ascii="宋体" w:hAnsi="宋体" w:eastAsia="宋体" w:cs="宋体"/>
      <w:color w:val="000000"/>
      <w:sz w:val="22"/>
      <w:szCs w:val="22"/>
      <w:u w:val="none"/>
    </w:rPr>
  </w:style>
  <w:style w:type="character" w:customStyle="1" w:styleId="26">
    <w:name w:val="font81"/>
    <w:basedOn w:val="15"/>
    <w:qFormat/>
    <w:uiPriority w:val="0"/>
    <w:rPr>
      <w:rFonts w:ascii="微软雅黑" w:hAnsi="微软雅黑" w:eastAsia="微软雅黑" w:cs="微软雅黑"/>
      <w:color w:val="000000"/>
      <w:sz w:val="20"/>
      <w:szCs w:val="20"/>
      <w:u w:val="none"/>
    </w:rPr>
  </w:style>
  <w:style w:type="character" w:customStyle="1" w:styleId="27">
    <w:name w:val="font21"/>
    <w:basedOn w:val="15"/>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2022-10-11T02:01:00Z</dcterms:created>
  <dc:creator>WPS_1614746478</dc:creator>
  <cp:lastModifiedBy>zwshihm</cp:lastModifiedBy>
  <dcterms:modified xsi:type="dcterms:W3CDTF">2026-02-12T07:52:38Z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92EA9110D00B4519B6E6744EA72C58BA</vt:lpwstr>
  </property>
</Properties>
</file>