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仿宋_GB2312" w:eastAsia="仿宋_GB2312"/>
          <w:sz w:val="32"/>
          <w:szCs w:val="32"/>
        </w:rPr>
      </w:pPr>
    </w:p>
    <w:p>
      <w:pPr>
        <w:rPr>
          <w:rFonts w:hint="eastAsia" w:ascii="仿宋_GB2312" w:eastAsia="仿宋_GB2312"/>
          <w:sz w:val="32"/>
          <w:szCs w:val="32"/>
        </w:rPr>
      </w:pPr>
    </w:p>
    <w:p>
      <w:pPr>
        <w:rPr>
          <w:rFonts w:ascii="仿宋_GB2312" w:eastAsia="仿宋_GB2312"/>
          <w:sz w:val="32"/>
          <w:szCs w:val="32"/>
        </w:rPr>
      </w:pPr>
      <w:r>
        <w:rPr>
          <w:rFonts w:hint="eastAsia" w:ascii="仿宋_GB2312" w:eastAsia="仿宋_GB2312"/>
          <w:sz w:val="32"/>
          <w:szCs w:val="32"/>
        </w:rPr>
        <w:t>附件</w:t>
      </w:r>
      <w:r>
        <w:rPr>
          <w:rFonts w:hint="eastAsia" w:ascii="仿宋_GB2312" w:eastAsia="仿宋_GB2312"/>
          <w:sz w:val="32"/>
          <w:szCs w:val="32"/>
          <w:lang w:val="en-US" w:eastAsia="zh-CN"/>
        </w:rPr>
        <w:t>3</w:t>
      </w:r>
      <w:r>
        <w:rPr>
          <w:rFonts w:hint="eastAsia" w:ascii="仿宋_GB2312" w:eastAsia="仿宋_GB2312"/>
          <w:sz w:val="32"/>
          <w:szCs w:val="32"/>
        </w:rPr>
        <w:t>:</w:t>
      </w:r>
    </w:p>
    <w:p>
      <w:pPr>
        <w:rPr>
          <w:rFonts w:ascii="仿宋_GB2312" w:eastAsia="仿宋_GB2312"/>
          <w:sz w:val="32"/>
          <w:szCs w:val="32"/>
        </w:rPr>
      </w:pPr>
      <w:r>
        <w:rPr>
          <w:rFonts w:hint="eastAsia" w:ascii="仿宋_GB2312" w:eastAsia="仿宋_GB2312"/>
          <w:sz w:val="32"/>
          <w:szCs w:val="32"/>
        </w:rPr>
        <w:t xml:space="preserve"> </w:t>
      </w:r>
    </w:p>
    <w:p>
      <w:pPr>
        <w:jc w:val="center"/>
        <w:rPr>
          <w:rFonts w:hint="eastAsia" w:ascii="方正小标宋简体" w:eastAsia="方正小标宋简体"/>
          <w:sz w:val="44"/>
          <w:szCs w:val="44"/>
          <w:lang w:val="en-US" w:eastAsia="zh-CN"/>
        </w:rPr>
      </w:pPr>
      <w:r>
        <w:rPr>
          <w:rFonts w:hint="eastAsia" w:ascii="方正小标宋简体" w:eastAsia="方正小标宋简体"/>
          <w:sz w:val="44"/>
          <w:szCs w:val="44"/>
          <w:lang w:val="en-US" w:eastAsia="zh-CN"/>
        </w:rPr>
        <w:t>安全生产专项资金项目</w:t>
      </w:r>
    </w:p>
    <w:p>
      <w:pPr>
        <w:jc w:val="center"/>
        <w:rPr>
          <w:rFonts w:hint="eastAsia" w:ascii="方正小标宋简体" w:eastAsia="方正小标宋简体"/>
          <w:sz w:val="44"/>
          <w:szCs w:val="44"/>
          <w:lang w:val="en-US" w:eastAsia="zh-CN"/>
        </w:rPr>
      </w:pPr>
      <w:r>
        <w:rPr>
          <w:rFonts w:hint="eastAsia" w:ascii="方正小标宋简体" w:eastAsia="方正小标宋简体"/>
          <w:sz w:val="44"/>
          <w:szCs w:val="44"/>
          <w:lang w:val="en-US" w:eastAsia="zh-CN"/>
        </w:rPr>
        <w:t>绩效自评报告</w:t>
      </w:r>
    </w:p>
    <w:p>
      <w:pPr>
        <w:jc w:val="center"/>
        <w:rPr>
          <w:rFonts w:hint="eastAsia" w:ascii="仿宋_GB2312" w:eastAsia="仿宋_GB2312"/>
          <w:sz w:val="32"/>
          <w:szCs w:val="32"/>
        </w:rPr>
      </w:pPr>
    </w:p>
    <w:p>
      <w:pPr>
        <w:jc w:val="center"/>
        <w:rPr>
          <w:rFonts w:hint="eastAsia" w:ascii="仿宋_GB2312" w:eastAsia="仿宋_GB2312"/>
          <w:sz w:val="32"/>
          <w:szCs w:val="32"/>
        </w:rPr>
      </w:pPr>
    </w:p>
    <w:p>
      <w:pPr>
        <w:jc w:val="center"/>
        <w:rPr>
          <w:rFonts w:hint="eastAsia" w:ascii="仿宋_GB2312" w:eastAsia="仿宋_GB2312"/>
          <w:sz w:val="32"/>
          <w:szCs w:val="32"/>
        </w:rPr>
      </w:pPr>
    </w:p>
    <w:p>
      <w:pPr>
        <w:jc w:val="center"/>
        <w:rPr>
          <w:rFonts w:hint="eastAsia" w:ascii="仿宋_GB2312" w:eastAsia="仿宋_GB2312"/>
          <w:sz w:val="32"/>
          <w:szCs w:val="32"/>
        </w:rPr>
      </w:pPr>
    </w:p>
    <w:p>
      <w:pPr>
        <w:jc w:val="center"/>
        <w:rPr>
          <w:rFonts w:hint="eastAsia" w:ascii="仿宋_GB2312" w:eastAsia="仿宋_GB2312"/>
          <w:sz w:val="32"/>
          <w:szCs w:val="32"/>
        </w:rPr>
      </w:pPr>
    </w:p>
    <w:p>
      <w:pPr>
        <w:jc w:val="center"/>
        <w:rPr>
          <w:rFonts w:hint="eastAsia" w:ascii="仿宋_GB2312" w:eastAsia="仿宋_GB2312"/>
          <w:sz w:val="32"/>
          <w:szCs w:val="32"/>
        </w:rPr>
      </w:pPr>
    </w:p>
    <w:p>
      <w:pPr>
        <w:jc w:val="center"/>
        <w:rPr>
          <w:rFonts w:hint="eastAsia" w:ascii="仿宋_GB2312" w:eastAsia="仿宋_GB2312"/>
          <w:sz w:val="32"/>
          <w:szCs w:val="32"/>
        </w:rPr>
      </w:pPr>
    </w:p>
    <w:p>
      <w:pPr>
        <w:jc w:val="center"/>
        <w:rPr>
          <w:rFonts w:hint="eastAsia" w:ascii="仿宋_GB2312" w:eastAsia="仿宋_GB2312"/>
          <w:sz w:val="32"/>
          <w:szCs w:val="32"/>
        </w:rPr>
      </w:pPr>
    </w:p>
    <w:p>
      <w:pPr>
        <w:jc w:val="center"/>
        <w:rPr>
          <w:rFonts w:hint="eastAsia" w:ascii="仿宋_GB2312" w:eastAsia="仿宋_GB2312"/>
          <w:sz w:val="32"/>
          <w:szCs w:val="32"/>
        </w:rPr>
      </w:pPr>
    </w:p>
    <w:p>
      <w:pPr>
        <w:jc w:val="center"/>
        <w:rPr>
          <w:rFonts w:hint="eastAsia" w:ascii="仿宋_GB2312" w:eastAsia="仿宋_GB2312"/>
          <w:sz w:val="32"/>
          <w:szCs w:val="32"/>
        </w:rPr>
      </w:pPr>
    </w:p>
    <w:p>
      <w:pPr>
        <w:jc w:val="left"/>
        <w:rPr>
          <w:rFonts w:hint="eastAsia" w:ascii="仿宋_GB2312" w:eastAsia="仿宋_GB2312"/>
          <w:sz w:val="32"/>
          <w:szCs w:val="32"/>
          <w:lang w:val="en-US" w:eastAsia="zh-CN"/>
        </w:rPr>
      </w:pPr>
      <w:r>
        <w:rPr>
          <w:rFonts w:hint="eastAsia" w:ascii="仿宋_GB2312" w:eastAsia="仿宋_GB2312"/>
          <w:sz w:val="32"/>
          <w:szCs w:val="32"/>
          <w:lang w:val="en-US" w:eastAsia="zh-CN"/>
        </w:rPr>
        <w:t>部门名称：茂名市应急管理局（公章）</w:t>
      </w:r>
    </w:p>
    <w:p>
      <w:pPr>
        <w:jc w:val="left"/>
        <w:rPr>
          <w:rFonts w:hint="default" w:ascii="仿宋_GB2312" w:eastAsia="仿宋_GB2312"/>
          <w:sz w:val="32"/>
          <w:szCs w:val="32"/>
          <w:lang w:val="en-US" w:eastAsia="zh-CN"/>
        </w:rPr>
      </w:pPr>
      <w:r>
        <w:rPr>
          <w:rFonts w:hint="eastAsia" w:ascii="仿宋_GB2312" w:eastAsia="仿宋_GB2312"/>
          <w:sz w:val="32"/>
          <w:szCs w:val="32"/>
          <w:lang w:val="en-US" w:eastAsia="zh-CN"/>
        </w:rPr>
        <w:t>填报人：王华海</w:t>
      </w:r>
    </w:p>
    <w:p>
      <w:pPr>
        <w:jc w:val="left"/>
        <w:rPr>
          <w:rFonts w:hint="default" w:ascii="仿宋_GB2312" w:eastAsia="仿宋_GB2312"/>
          <w:sz w:val="32"/>
          <w:szCs w:val="32"/>
          <w:lang w:val="en-US" w:eastAsia="zh-CN"/>
        </w:rPr>
      </w:pPr>
      <w:r>
        <w:rPr>
          <w:rFonts w:hint="eastAsia" w:ascii="仿宋_GB2312" w:eastAsia="仿宋_GB2312"/>
          <w:sz w:val="32"/>
          <w:szCs w:val="32"/>
          <w:lang w:val="en-US" w:eastAsia="zh-CN"/>
        </w:rPr>
        <w:t>联系电话：2093502</w:t>
      </w:r>
    </w:p>
    <w:p>
      <w:pPr>
        <w:jc w:val="left"/>
        <w:rPr>
          <w:rFonts w:hint="default" w:ascii="仿宋_GB2312" w:eastAsia="仿宋_GB2312"/>
          <w:sz w:val="32"/>
          <w:szCs w:val="32"/>
          <w:lang w:val="en-US" w:eastAsia="zh-CN"/>
        </w:rPr>
      </w:pPr>
      <w:r>
        <w:rPr>
          <w:rFonts w:hint="eastAsia" w:ascii="仿宋_GB2312" w:eastAsia="仿宋_GB2312"/>
          <w:sz w:val="32"/>
          <w:szCs w:val="32"/>
          <w:lang w:val="en-US" w:eastAsia="zh-CN"/>
        </w:rPr>
        <w:t>填报日期：2022年6月10日</w:t>
      </w:r>
    </w:p>
    <w:p>
      <w:pPr>
        <w:jc w:val="center"/>
        <w:rPr>
          <w:rFonts w:hint="eastAsia" w:ascii="仿宋_GB2312" w:eastAsia="仿宋_GB2312"/>
          <w:sz w:val="32"/>
          <w:szCs w:val="32"/>
        </w:rPr>
      </w:pPr>
    </w:p>
    <w:p>
      <w:pPr>
        <w:jc w:val="center"/>
        <w:rPr>
          <w:rFonts w:hint="eastAsia" w:ascii="仿宋_GB2312" w:eastAsia="仿宋_GB2312"/>
          <w:sz w:val="32"/>
          <w:szCs w:val="32"/>
        </w:rPr>
      </w:pPr>
    </w:p>
    <w:p>
      <w:pPr>
        <w:keepNext w:val="0"/>
        <w:keepLines w:val="0"/>
        <w:pageBreakBefore w:val="0"/>
        <w:widowControl w:val="0"/>
        <w:numPr>
          <w:ilvl w:val="0"/>
          <w:numId w:val="0"/>
        </w:numPr>
        <w:kinsoku/>
        <w:wordWrap/>
        <w:overflowPunct/>
        <w:topLinePunct w:val="0"/>
        <w:autoSpaceDE/>
        <w:autoSpaceDN/>
        <w:bidi w:val="0"/>
        <w:adjustRightInd/>
        <w:snapToGrid/>
        <w:ind w:firstLine="640" w:firstLineChars="200"/>
        <w:textAlignment w:val="auto"/>
        <w:rPr>
          <w:rFonts w:hint="eastAsia" w:ascii="黑体" w:hAnsi="黑体" w:eastAsia="黑体"/>
          <w:sz w:val="32"/>
          <w:szCs w:val="32"/>
          <w:lang w:val="en-US" w:eastAsia="zh-CN"/>
        </w:rPr>
      </w:pPr>
      <w:bookmarkStart w:id="0" w:name="_GoBack"/>
      <w:bookmarkEnd w:id="0"/>
      <w:r>
        <w:rPr>
          <w:rFonts w:hint="eastAsia" w:ascii="黑体" w:hAnsi="黑体" w:eastAsia="黑体"/>
          <w:sz w:val="32"/>
          <w:szCs w:val="32"/>
          <w:lang w:val="en-US" w:eastAsia="zh-CN"/>
        </w:rPr>
        <w:t>一、基本情况</w:t>
      </w:r>
    </w:p>
    <w:p>
      <w:pPr>
        <w:keepNext w:val="0"/>
        <w:keepLines w:val="0"/>
        <w:pageBreakBefore w:val="0"/>
        <w:widowControl w:val="0"/>
        <w:numPr>
          <w:ilvl w:val="0"/>
          <w:numId w:val="0"/>
        </w:numPr>
        <w:kinsoku/>
        <w:wordWrap/>
        <w:overflowPunct/>
        <w:topLinePunct w:val="0"/>
        <w:autoSpaceDE/>
        <w:autoSpaceDN/>
        <w:bidi w:val="0"/>
        <w:adjustRightInd/>
        <w:snapToGrid/>
        <w:ind w:firstLine="640" w:firstLineChars="200"/>
        <w:textAlignment w:val="auto"/>
        <w:rPr>
          <w:rFonts w:hint="eastAsia" w:ascii="仿宋_GB2312" w:eastAsia="仿宋"/>
          <w:sz w:val="32"/>
          <w:szCs w:val="32"/>
          <w:lang w:val="en-US" w:eastAsia="zh-CN"/>
        </w:rPr>
      </w:pPr>
      <w:r>
        <w:rPr>
          <w:rFonts w:hint="eastAsia" w:ascii="仿宋_GB2312" w:eastAsia="仿宋_GB2312"/>
          <w:sz w:val="32"/>
          <w:szCs w:val="32"/>
          <w:lang w:eastAsia="zh-CN"/>
        </w:rPr>
        <w:t>（</w:t>
      </w:r>
      <w:r>
        <w:rPr>
          <w:rFonts w:hint="eastAsia" w:ascii="仿宋_GB2312" w:eastAsia="仿宋_GB2312"/>
          <w:sz w:val="32"/>
          <w:szCs w:val="32"/>
          <w:lang w:val="en-US" w:eastAsia="zh-CN"/>
        </w:rPr>
        <w:t>一）</w:t>
      </w:r>
      <w:r>
        <w:rPr>
          <w:rFonts w:hint="eastAsia" w:ascii="仿宋_GB2312" w:eastAsia="仿宋_GB2312"/>
          <w:sz w:val="32"/>
          <w:szCs w:val="32"/>
        </w:rPr>
        <w:t>项目基本情况</w:t>
      </w:r>
      <w:r>
        <w:rPr>
          <w:rFonts w:hint="eastAsia" w:ascii="仿宋_GB2312" w:eastAsia="仿宋_GB2312"/>
          <w:sz w:val="32"/>
          <w:szCs w:val="32"/>
          <w:lang w:eastAsia="zh-CN"/>
        </w:rPr>
        <w:t>。</w:t>
      </w:r>
      <w:r>
        <w:rPr>
          <w:rFonts w:hint="eastAsia" w:ascii="仿宋_GB2312" w:eastAsia="仿宋_GB2312"/>
          <w:sz w:val="32"/>
          <w:szCs w:val="32"/>
          <w:lang w:val="en-US" w:eastAsia="zh-CN"/>
        </w:rPr>
        <w:t>项目资金</w:t>
      </w:r>
      <w:r>
        <w:rPr>
          <w:rFonts w:hint="eastAsia" w:ascii="仿宋" w:hAnsi="仿宋" w:eastAsia="仿宋"/>
          <w:sz w:val="32"/>
          <w:szCs w:val="32"/>
        </w:rPr>
        <w:t>用于全市安全生产大检查、安全生产事故隐患排查及治理、市安委办日常工作、安全生产专家费用、应急防范灾害综合值守等事务</w:t>
      </w:r>
      <w:r>
        <w:rPr>
          <w:rFonts w:hint="eastAsia" w:ascii="仿宋" w:hAnsi="仿宋" w:eastAsia="仿宋"/>
          <w:sz w:val="32"/>
          <w:szCs w:val="32"/>
          <w:lang w:eastAsia="zh-CN"/>
        </w:rPr>
        <w:t>。</w:t>
      </w:r>
    </w:p>
    <w:p>
      <w:pPr>
        <w:spacing w:line="560" w:lineRule="exact"/>
        <w:ind w:firstLine="640"/>
        <w:rPr>
          <w:rFonts w:hint="eastAsia" w:ascii="仿宋_GB2312" w:eastAsia="仿宋"/>
          <w:sz w:val="32"/>
          <w:szCs w:val="32"/>
          <w:lang w:eastAsia="zh-CN"/>
        </w:rPr>
      </w:pPr>
      <w:r>
        <w:rPr>
          <w:rFonts w:hint="eastAsia" w:ascii="仿宋_GB2312" w:eastAsia="仿宋_GB2312"/>
          <w:sz w:val="32"/>
          <w:szCs w:val="32"/>
          <w:lang w:val="en-US" w:eastAsia="zh-CN"/>
        </w:rPr>
        <w:t>（二）项目决策情况。</w:t>
      </w:r>
      <w:r>
        <w:rPr>
          <w:rFonts w:hint="eastAsia" w:ascii="仿宋" w:hAnsi="仿宋" w:eastAsia="仿宋"/>
          <w:sz w:val="32"/>
          <w:szCs w:val="32"/>
        </w:rPr>
        <w:t>为贯彻落实省政府关于进一步加强安全生产工作的通知精神，并按照市财政局《关于下达2021年市级部门预算的通知》（茂财预〔2021〕28号）的文件规定</w:t>
      </w:r>
      <w:r>
        <w:rPr>
          <w:rFonts w:hint="eastAsia" w:ascii="仿宋" w:hAnsi="仿宋" w:eastAsia="仿宋"/>
          <w:sz w:val="32"/>
          <w:szCs w:val="32"/>
          <w:lang w:eastAsia="zh-CN"/>
        </w:rPr>
        <w:t>，</w:t>
      </w:r>
      <w:r>
        <w:rPr>
          <w:rFonts w:hint="eastAsia" w:ascii="仿宋" w:hAnsi="仿宋" w:eastAsia="仿宋"/>
          <w:sz w:val="32"/>
          <w:szCs w:val="32"/>
          <w:lang w:val="en-US" w:eastAsia="zh-CN"/>
        </w:rPr>
        <w:t>根据历年资金使用情况：拟安排：</w:t>
      </w:r>
      <w:r>
        <w:rPr>
          <w:rFonts w:hint="eastAsia" w:ascii="仿宋" w:hAnsi="仿宋" w:eastAsia="仿宋"/>
          <w:sz w:val="32"/>
          <w:szCs w:val="32"/>
        </w:rPr>
        <w:t>安全生产监管执法经费（全市安全生产大检查）70万元，市安委办、市三防办、市森林防火办等日常工作70万元，安全生产法规宣教140万元，综合应急值守（含三防值守）经费35万元，安全生产专家费用（社会购买服务）60万元，综合隐患治理费用（含事故调查、移动应急指挥平台）125万元。</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eastAsia="仿宋_GB2312"/>
          <w:sz w:val="32"/>
          <w:szCs w:val="32"/>
          <w:lang w:eastAsia="zh-CN"/>
        </w:rPr>
      </w:pPr>
      <w:r>
        <w:rPr>
          <w:rFonts w:hint="eastAsia" w:ascii="仿宋_GB2312" w:eastAsia="仿宋_GB2312"/>
          <w:sz w:val="32"/>
          <w:szCs w:val="32"/>
        </w:rPr>
        <w:t>（</w:t>
      </w:r>
      <w:r>
        <w:rPr>
          <w:rFonts w:hint="eastAsia" w:ascii="仿宋_GB2312" w:eastAsia="仿宋_GB2312"/>
          <w:sz w:val="32"/>
          <w:szCs w:val="32"/>
          <w:lang w:val="en-US" w:eastAsia="zh-CN"/>
        </w:rPr>
        <w:t>三</w:t>
      </w:r>
      <w:r>
        <w:rPr>
          <w:rFonts w:hint="eastAsia" w:ascii="仿宋_GB2312" w:eastAsia="仿宋_GB2312"/>
          <w:sz w:val="32"/>
          <w:szCs w:val="32"/>
        </w:rPr>
        <w:t>）项目绩效总</w:t>
      </w:r>
      <w:r>
        <w:rPr>
          <w:rFonts w:hint="eastAsia" w:ascii="仿宋_GB2312" w:eastAsia="仿宋_GB2312"/>
          <w:sz w:val="32"/>
          <w:szCs w:val="32"/>
          <w:lang w:val="en-US" w:eastAsia="zh-CN"/>
        </w:rPr>
        <w:t>体</w:t>
      </w:r>
      <w:r>
        <w:rPr>
          <w:rFonts w:hint="eastAsia" w:ascii="仿宋_GB2312" w:eastAsia="仿宋_GB2312"/>
          <w:sz w:val="32"/>
          <w:szCs w:val="32"/>
        </w:rPr>
        <w:t>目标及年度绩效目标</w:t>
      </w:r>
      <w:r>
        <w:rPr>
          <w:rFonts w:hint="eastAsia" w:ascii="仿宋_GB2312" w:eastAsia="仿宋_GB2312"/>
          <w:sz w:val="32"/>
          <w:szCs w:val="32"/>
          <w:lang w:eastAsia="zh-CN"/>
        </w:rPr>
        <w:t>。</w:t>
      </w:r>
      <w:r>
        <w:rPr>
          <w:rFonts w:hint="eastAsia" w:ascii="仿宋" w:hAnsi="仿宋" w:eastAsia="仿宋" w:cs="仿宋"/>
          <w:color w:val="auto"/>
          <w:kern w:val="2"/>
          <w:sz w:val="32"/>
          <w:szCs w:val="32"/>
          <w:highlight w:val="none"/>
          <w:shd w:val="clear" w:color="auto" w:fill="auto"/>
          <w:lang w:val="en-US" w:eastAsia="zh-CN" w:bidi="ar-SA"/>
        </w:rPr>
        <w:t>全市共发生事故44起、死亡40人、受伤24人，同比分别下降34.3%、31.0%和14.3%，直接经济损失2235.45 万元，同比上升73.7%；发生较大事故1起，造成3人死亡、3人受伤，较大事故起数和死亡人数分别同比下降50%、62.5%。全市安全生产形势总体平稳向好。</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黑体" w:hAnsi="黑体" w:eastAsia="黑体"/>
          <w:sz w:val="32"/>
          <w:szCs w:val="32"/>
          <w:lang w:val="en-US" w:eastAsia="zh-CN"/>
        </w:rPr>
      </w:pPr>
      <w:r>
        <w:rPr>
          <w:rFonts w:hint="eastAsia" w:ascii="黑体" w:hAnsi="黑体" w:eastAsia="黑体"/>
          <w:sz w:val="32"/>
          <w:szCs w:val="32"/>
        </w:rPr>
        <w:t>二、</w:t>
      </w:r>
      <w:r>
        <w:rPr>
          <w:rFonts w:hint="eastAsia" w:ascii="黑体" w:hAnsi="黑体" w:eastAsia="黑体"/>
          <w:sz w:val="32"/>
          <w:szCs w:val="32"/>
          <w:lang w:val="en-US" w:eastAsia="zh-CN"/>
        </w:rPr>
        <w:t>绩效自评工作组织情况</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default" w:ascii="黑体" w:hAnsi="黑体" w:eastAsia="黑体"/>
          <w:sz w:val="32"/>
          <w:szCs w:val="32"/>
          <w:lang w:val="en-US" w:eastAsia="zh-CN"/>
        </w:rPr>
      </w:pPr>
      <w:r>
        <w:rPr>
          <w:rFonts w:hint="eastAsia" w:ascii="仿宋" w:hAnsi="仿宋" w:eastAsia="仿宋" w:cs="仿宋"/>
          <w:sz w:val="32"/>
          <w:szCs w:val="32"/>
          <w:lang w:val="en-US" w:eastAsia="zh-CN"/>
        </w:rPr>
        <w:t>我局一直沿用以前年度成立的有关绩效评价小组参与相关专项资金项目的绩效评价工作，由分管办公室的副局长任组长，成员由各业务科室负责人组成，具体工作由财务人员负责。</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黑体" w:hAnsi="黑体" w:eastAsia="黑体"/>
          <w:sz w:val="32"/>
          <w:szCs w:val="32"/>
          <w:lang w:val="en-US" w:eastAsia="zh-CN"/>
        </w:rPr>
      </w:pPr>
      <w:r>
        <w:rPr>
          <w:rFonts w:hint="eastAsia" w:ascii="黑体" w:hAnsi="黑体" w:eastAsia="黑体"/>
          <w:sz w:val="32"/>
          <w:szCs w:val="32"/>
          <w:lang w:val="en-US" w:eastAsia="zh-CN"/>
        </w:rPr>
        <w:t>三、绩效自评结论</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本项目是根据我局安全生产需要计划安排，</w:t>
      </w:r>
      <w:r>
        <w:rPr>
          <w:rFonts w:hint="eastAsia" w:ascii="仿宋" w:hAnsi="仿宋" w:eastAsia="仿宋" w:cs="仿宋"/>
          <w:color w:val="auto"/>
          <w:sz w:val="32"/>
          <w:szCs w:val="32"/>
          <w:highlight w:val="none"/>
        </w:rPr>
        <w:t>统筹应急管理、安全生产、防灾减灾救灾各项工作</w:t>
      </w:r>
      <w:r>
        <w:rPr>
          <w:rFonts w:hint="eastAsia" w:ascii="仿宋" w:hAnsi="仿宋" w:eastAsia="仿宋" w:cs="仿宋"/>
          <w:color w:val="auto"/>
          <w:sz w:val="32"/>
          <w:szCs w:val="32"/>
          <w:highlight w:val="none"/>
          <w:lang w:eastAsia="zh-CN"/>
        </w:rPr>
        <w:t>，</w:t>
      </w:r>
      <w:r>
        <w:rPr>
          <w:rFonts w:hint="eastAsia" w:ascii="仿宋" w:hAnsi="仿宋" w:eastAsia="仿宋"/>
          <w:sz w:val="32"/>
          <w:szCs w:val="32"/>
          <w:highlight w:val="none"/>
        </w:rPr>
        <w:t>为我市社会经济发展营造良好的安全环境。</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ascii="黑体" w:hAnsi="黑体" w:eastAsia="黑体"/>
          <w:sz w:val="32"/>
          <w:szCs w:val="32"/>
        </w:rPr>
      </w:pPr>
      <w:r>
        <w:rPr>
          <w:rFonts w:hint="eastAsia" w:ascii="黑体" w:hAnsi="黑体" w:eastAsia="黑体"/>
          <w:sz w:val="32"/>
          <w:szCs w:val="32"/>
          <w:lang w:val="en-US" w:eastAsia="zh-CN"/>
        </w:rPr>
        <w:t>四、绩效指标分析</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eastAsia="仿宋_GB2312"/>
          <w:sz w:val="32"/>
          <w:szCs w:val="32"/>
          <w:lang w:val="en-US" w:eastAsia="zh-CN"/>
        </w:rPr>
      </w:pPr>
      <w:r>
        <w:rPr>
          <w:rFonts w:hint="eastAsia" w:ascii="仿宋_GB2312" w:eastAsia="仿宋_GB2312"/>
          <w:sz w:val="32"/>
          <w:szCs w:val="32"/>
          <w:lang w:eastAsia="zh-CN"/>
        </w:rPr>
        <w:t>（</w:t>
      </w:r>
      <w:r>
        <w:rPr>
          <w:rFonts w:hint="eastAsia" w:ascii="仿宋_GB2312" w:eastAsia="仿宋_GB2312"/>
          <w:sz w:val="32"/>
          <w:szCs w:val="32"/>
          <w:lang w:val="en-US" w:eastAsia="zh-CN"/>
        </w:rPr>
        <w:t>一）决策分析</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eastAsia="仿宋_GB2312"/>
          <w:sz w:val="32"/>
          <w:szCs w:val="32"/>
          <w:lang w:val="en-US" w:eastAsia="zh-CN"/>
        </w:rPr>
      </w:pPr>
      <w:r>
        <w:rPr>
          <w:rFonts w:hint="eastAsia" w:ascii="仿宋_GB2312" w:eastAsia="仿宋_GB2312"/>
          <w:sz w:val="32"/>
          <w:szCs w:val="32"/>
          <w:lang w:val="en-US" w:eastAsia="zh-CN"/>
        </w:rPr>
        <w:t>1、项目立项情况。</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default" w:ascii="仿宋_GB2312" w:eastAsia="仿宋_GB2312"/>
          <w:sz w:val="32"/>
          <w:szCs w:val="32"/>
          <w:lang w:val="en-US" w:eastAsia="zh-CN"/>
        </w:rPr>
      </w:pPr>
      <w:r>
        <w:rPr>
          <w:rFonts w:hint="eastAsia" w:ascii="仿宋_GB2312" w:eastAsia="仿宋_GB2312"/>
          <w:sz w:val="32"/>
          <w:szCs w:val="32"/>
          <w:lang w:val="en-US" w:eastAsia="zh-CN"/>
        </w:rPr>
        <w:t>（1）论证决策。年初编报预算计划时，报经市财政局分管业务科室和预算科审核通过，然后提交市政府审批执行。</w:t>
      </w:r>
    </w:p>
    <w:p>
      <w:pPr>
        <w:pStyle w:val="4"/>
        <w:spacing w:after="0" w:line="560" w:lineRule="exact"/>
        <w:ind w:firstLine="640" w:firstLineChars="200"/>
        <w:rPr>
          <w:rFonts w:hint="eastAsia" w:ascii="仿宋_GB2312" w:eastAsia="仿宋_GB2312"/>
          <w:sz w:val="32"/>
          <w:szCs w:val="32"/>
          <w:lang w:val="en-US" w:eastAsia="zh-CN"/>
        </w:rPr>
      </w:pPr>
      <w:r>
        <w:rPr>
          <w:rFonts w:hint="eastAsia" w:ascii="仿宋_GB2312" w:eastAsia="仿宋_GB2312"/>
          <w:sz w:val="32"/>
          <w:szCs w:val="32"/>
          <w:lang w:val="en-US" w:eastAsia="zh-CN"/>
        </w:rPr>
        <w:t>（2）目标设置。</w:t>
      </w:r>
      <w:r>
        <w:rPr>
          <w:rFonts w:hint="eastAsia" w:ascii="仿宋" w:hAnsi="仿宋" w:eastAsia="仿宋" w:cs="仿宋"/>
          <w:kern w:val="0"/>
          <w:sz w:val="32"/>
          <w:szCs w:val="32"/>
        </w:rPr>
        <w:t>一是</w:t>
      </w:r>
      <w:r>
        <w:rPr>
          <w:rFonts w:hint="eastAsia" w:ascii="仿宋" w:hAnsi="仿宋" w:eastAsia="仿宋" w:cs="仿宋"/>
          <w:sz w:val="32"/>
          <w:szCs w:val="32"/>
        </w:rPr>
        <w:t>牢牢守住安全生产基本盘。重点推进</w:t>
      </w:r>
      <w:r>
        <w:rPr>
          <w:rFonts w:hint="eastAsia" w:ascii="仿宋" w:hAnsi="仿宋" w:eastAsia="仿宋" w:cs="仿宋"/>
          <w:kern w:val="0"/>
          <w:sz w:val="32"/>
          <w:szCs w:val="32"/>
          <w:shd w:val="clear" w:color="auto" w:fill="FFFFFF"/>
        </w:rPr>
        <w:t>七类重点行业领域专项整治，</w:t>
      </w:r>
      <w:r>
        <w:rPr>
          <w:rFonts w:hint="eastAsia" w:ascii="仿宋" w:hAnsi="仿宋" w:eastAsia="仿宋" w:cs="仿宋"/>
          <w:sz w:val="32"/>
          <w:szCs w:val="32"/>
        </w:rPr>
        <w:t>推动企业健全全员安全生产责任制。二是</w:t>
      </w:r>
      <w:r>
        <w:rPr>
          <w:rStyle w:val="12"/>
          <w:rFonts w:hint="eastAsia" w:ascii="仿宋" w:hAnsi="仿宋" w:eastAsia="仿宋" w:cs="仿宋"/>
        </w:rPr>
        <w:t>大力推进危险化学品安全专项整治。组织对危险化学品企业和化工园区实施精准化安全风险排查评估，分类建立完善安全风险数据库和信息管理系统。</w:t>
      </w:r>
      <w:r>
        <w:rPr>
          <w:rFonts w:hint="eastAsia" w:ascii="仿宋" w:hAnsi="仿宋" w:eastAsia="仿宋" w:cs="仿宋"/>
          <w:sz w:val="32"/>
          <w:szCs w:val="32"/>
        </w:rPr>
        <w:t>三是坚决打赢自然灾害防治攻坚战。加大全市自然灾害隐患点排查治理力度，做好台风、暴雨、洪涝、地质灾害、森林火险等监测、预报、预警工作。四是加强风险防范和信息化建设。健全</w:t>
      </w:r>
      <w:r>
        <w:rPr>
          <w:rFonts w:hint="eastAsia" w:ascii="仿宋" w:hAnsi="仿宋" w:eastAsia="仿宋" w:cs="仿宋"/>
          <w:kern w:val="0"/>
          <w:sz w:val="32"/>
          <w:szCs w:val="32"/>
        </w:rPr>
        <w:t>安全风险排查、评估、预警、防范化解等机制，</w:t>
      </w:r>
      <w:r>
        <w:rPr>
          <w:rFonts w:hint="eastAsia" w:ascii="仿宋" w:hAnsi="仿宋" w:eastAsia="仿宋" w:cs="仿宋"/>
          <w:sz w:val="32"/>
          <w:szCs w:val="32"/>
        </w:rPr>
        <w:t>加强应急管理信息化建设，重点解决极端情况下通信保障问题。</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default" w:ascii="仿宋_GB2312" w:eastAsia="仿宋_GB2312"/>
          <w:sz w:val="32"/>
          <w:szCs w:val="32"/>
          <w:lang w:val="en-US" w:eastAsia="zh-CN"/>
        </w:rPr>
      </w:pPr>
      <w:r>
        <w:rPr>
          <w:rFonts w:hint="eastAsia" w:ascii="仿宋_GB2312" w:eastAsia="仿宋_GB2312"/>
          <w:sz w:val="32"/>
          <w:szCs w:val="32"/>
          <w:lang w:val="en-US" w:eastAsia="zh-CN"/>
        </w:rPr>
        <w:t>（3）保障措施。每一项资金的使用由相关业务科室提出使用计划进行统筹安排，做到量入为出，具体支出程序按照我局财务管理制度规定执行。</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eastAsia="仿宋_GB2312"/>
          <w:sz w:val="32"/>
          <w:szCs w:val="32"/>
          <w:lang w:val="en-US" w:eastAsia="zh-CN"/>
        </w:rPr>
      </w:pPr>
      <w:r>
        <w:rPr>
          <w:rFonts w:hint="eastAsia" w:ascii="仿宋_GB2312" w:eastAsia="仿宋_GB2312"/>
          <w:sz w:val="32"/>
          <w:szCs w:val="32"/>
          <w:lang w:val="en-US" w:eastAsia="zh-CN"/>
        </w:rPr>
        <w:t>2、资金落实情况。</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default" w:ascii="仿宋_GB2312" w:eastAsia="仿宋_GB2312"/>
          <w:sz w:val="32"/>
          <w:szCs w:val="32"/>
          <w:lang w:val="en-US" w:eastAsia="zh-CN"/>
        </w:rPr>
      </w:pPr>
      <w:r>
        <w:rPr>
          <w:rFonts w:hint="eastAsia" w:ascii="仿宋_GB2312" w:eastAsia="仿宋_GB2312"/>
          <w:sz w:val="32"/>
          <w:szCs w:val="32"/>
        </w:rPr>
        <w:t>（</w:t>
      </w:r>
      <w:r>
        <w:rPr>
          <w:rFonts w:hint="eastAsia" w:ascii="仿宋_GB2312" w:eastAsia="仿宋_GB2312"/>
          <w:sz w:val="32"/>
          <w:szCs w:val="32"/>
          <w:lang w:val="en-US" w:eastAsia="zh-CN"/>
        </w:rPr>
        <w:t>1</w:t>
      </w:r>
      <w:r>
        <w:rPr>
          <w:rFonts w:hint="eastAsia" w:ascii="仿宋_GB2312" w:eastAsia="仿宋_GB2312"/>
          <w:sz w:val="32"/>
          <w:szCs w:val="32"/>
        </w:rPr>
        <w:t>）资金到位。</w:t>
      </w:r>
      <w:r>
        <w:rPr>
          <w:rFonts w:hint="eastAsia" w:ascii="仿宋_GB2312" w:eastAsia="仿宋_GB2312"/>
          <w:sz w:val="32"/>
          <w:szCs w:val="32"/>
          <w:lang w:val="en-US" w:eastAsia="zh-CN"/>
        </w:rPr>
        <w:t>资金到位率100%，</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default" w:ascii="仿宋_GB2312" w:eastAsia="仿宋_GB2312"/>
          <w:sz w:val="32"/>
          <w:szCs w:val="32"/>
          <w:lang w:val="en-US" w:eastAsia="zh-CN"/>
        </w:rPr>
      </w:pPr>
      <w:r>
        <w:rPr>
          <w:rFonts w:hint="eastAsia" w:ascii="仿宋_GB2312" w:eastAsia="仿宋_GB2312"/>
          <w:sz w:val="32"/>
          <w:szCs w:val="32"/>
          <w:lang w:eastAsia="zh-CN"/>
        </w:rPr>
        <w:t>（</w:t>
      </w:r>
      <w:r>
        <w:rPr>
          <w:rFonts w:hint="eastAsia" w:ascii="仿宋_GB2312" w:eastAsia="仿宋_GB2312"/>
          <w:sz w:val="32"/>
          <w:szCs w:val="32"/>
          <w:lang w:val="en-US" w:eastAsia="zh-CN"/>
        </w:rPr>
        <w:t>2）资金分配。资金的使用分配是依据年初预算计划安排使用，年末结束时，对每个项目的测算开支进度，略有调整。</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eastAsia="仿宋_GB2312"/>
          <w:sz w:val="32"/>
          <w:szCs w:val="32"/>
          <w:lang w:val="en-US" w:eastAsia="zh-CN"/>
        </w:rPr>
      </w:pPr>
      <w:r>
        <w:rPr>
          <w:rFonts w:hint="eastAsia" w:ascii="仿宋_GB2312" w:eastAsia="仿宋_GB2312"/>
          <w:sz w:val="32"/>
          <w:szCs w:val="32"/>
          <w:lang w:val="en-US" w:eastAsia="zh-CN"/>
        </w:rPr>
        <w:t>（二）管理分析</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eastAsia="仿宋_GB2312"/>
          <w:sz w:val="32"/>
          <w:szCs w:val="32"/>
          <w:lang w:val="en-US" w:eastAsia="zh-CN"/>
        </w:rPr>
      </w:pPr>
      <w:r>
        <w:rPr>
          <w:rFonts w:hint="eastAsia" w:ascii="仿宋_GB2312" w:eastAsia="仿宋_GB2312"/>
          <w:sz w:val="32"/>
          <w:szCs w:val="32"/>
          <w:lang w:val="en-US" w:eastAsia="zh-CN"/>
        </w:rPr>
        <w:t>1、资金管理。</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default" w:ascii="仿宋_GB2312" w:eastAsia="仿宋_GB2312"/>
          <w:sz w:val="32"/>
          <w:szCs w:val="32"/>
          <w:lang w:val="en-US" w:eastAsia="zh-CN"/>
        </w:rPr>
      </w:pPr>
      <w:r>
        <w:rPr>
          <w:rFonts w:hint="eastAsia" w:ascii="仿宋_GB2312" w:eastAsia="仿宋_GB2312"/>
          <w:sz w:val="32"/>
          <w:szCs w:val="32"/>
          <w:lang w:val="en-US" w:eastAsia="zh-CN"/>
        </w:rPr>
        <w:t>（1）资金支付。按照我局制定的财务管理制度执行。</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default" w:ascii="仿宋_GB2312" w:eastAsia="仿宋_GB2312"/>
          <w:sz w:val="32"/>
          <w:szCs w:val="32"/>
          <w:lang w:val="en-US" w:eastAsia="zh-CN"/>
        </w:rPr>
      </w:pPr>
      <w:r>
        <w:rPr>
          <w:rFonts w:hint="eastAsia" w:ascii="仿宋_GB2312" w:eastAsia="仿宋_GB2312"/>
          <w:sz w:val="32"/>
          <w:szCs w:val="32"/>
          <w:lang w:val="en-US" w:eastAsia="zh-CN"/>
        </w:rPr>
        <w:t>（2）支出规范性。按照我局制定的财务管理制度执行，涉及政府采购或本局采购小组的必须按规定支出。</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eastAsia="仿宋_GB2312"/>
          <w:sz w:val="32"/>
          <w:szCs w:val="32"/>
          <w:lang w:val="en-US" w:eastAsia="zh-CN"/>
        </w:rPr>
      </w:pPr>
      <w:r>
        <w:rPr>
          <w:rFonts w:hint="eastAsia" w:ascii="仿宋_GB2312" w:eastAsia="仿宋_GB2312"/>
          <w:sz w:val="32"/>
          <w:szCs w:val="32"/>
          <w:lang w:val="en-US" w:eastAsia="zh-CN"/>
        </w:rPr>
        <w:t>2、事项管理。</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eastAsia="仿宋_GB2312"/>
          <w:sz w:val="32"/>
          <w:szCs w:val="32"/>
          <w:lang w:val="en-US" w:eastAsia="zh-CN"/>
        </w:rPr>
      </w:pPr>
      <w:r>
        <w:rPr>
          <w:rFonts w:hint="eastAsia" w:ascii="仿宋_GB2312" w:eastAsia="仿宋_GB2312"/>
          <w:sz w:val="32"/>
          <w:szCs w:val="32"/>
          <w:lang w:val="en-US" w:eastAsia="zh-CN"/>
        </w:rPr>
        <w:t>（1）实施程序。</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eastAsia="仿宋_GB2312"/>
          <w:sz w:val="32"/>
          <w:szCs w:val="32"/>
          <w:lang w:val="en-US" w:eastAsia="zh-CN"/>
        </w:rPr>
      </w:pPr>
      <w:r>
        <w:rPr>
          <w:rFonts w:hint="eastAsia" w:ascii="仿宋_GB2312" w:eastAsia="仿宋_GB2312"/>
          <w:sz w:val="32"/>
          <w:szCs w:val="32"/>
          <w:lang w:val="en-US" w:eastAsia="zh-CN"/>
        </w:rPr>
        <w:t>（2）管理情况。</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eastAsia="仿宋_GB2312"/>
          <w:sz w:val="32"/>
          <w:szCs w:val="32"/>
          <w:lang w:val="en-US" w:eastAsia="zh-CN"/>
        </w:rPr>
      </w:pPr>
      <w:r>
        <w:rPr>
          <w:rFonts w:hint="eastAsia" w:ascii="仿宋_GB2312" w:eastAsia="仿宋_GB2312"/>
          <w:sz w:val="32"/>
          <w:szCs w:val="32"/>
          <w:lang w:val="en-US" w:eastAsia="zh-CN"/>
        </w:rPr>
        <w:t>（三）产出分析</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default" w:ascii="仿宋_GB2312" w:eastAsia="仿宋_GB2312"/>
          <w:sz w:val="32"/>
          <w:szCs w:val="32"/>
          <w:lang w:val="en-US" w:eastAsia="zh-CN"/>
        </w:rPr>
      </w:pPr>
      <w:r>
        <w:rPr>
          <w:rFonts w:hint="eastAsia" w:ascii="仿宋_GB2312" w:eastAsia="仿宋_GB2312"/>
          <w:sz w:val="32"/>
          <w:szCs w:val="32"/>
          <w:lang w:val="en-US" w:eastAsia="zh-CN"/>
        </w:rPr>
        <w:t>1、经济性。</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eastAsia="仿宋_GB2312"/>
          <w:sz w:val="32"/>
          <w:szCs w:val="32"/>
          <w:lang w:val="en-US" w:eastAsia="zh-CN"/>
        </w:rPr>
      </w:pPr>
      <w:r>
        <w:rPr>
          <w:rFonts w:hint="eastAsia" w:ascii="仿宋_GB2312" w:eastAsia="仿宋_GB2312"/>
          <w:sz w:val="32"/>
          <w:szCs w:val="32"/>
          <w:lang w:val="en-US" w:eastAsia="zh-CN"/>
        </w:rPr>
        <w:t>2、效率性。</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eastAsia="仿宋_GB2312"/>
          <w:sz w:val="32"/>
          <w:szCs w:val="32"/>
          <w:lang w:val="en-US" w:eastAsia="zh-CN"/>
        </w:rPr>
      </w:pPr>
      <w:r>
        <w:rPr>
          <w:rFonts w:hint="eastAsia" w:ascii="仿宋_GB2312" w:eastAsia="仿宋_GB2312"/>
          <w:sz w:val="32"/>
          <w:szCs w:val="32"/>
          <w:lang w:val="en-US" w:eastAsia="zh-CN"/>
        </w:rPr>
        <w:t>（四）效益实现度分析</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eastAsia="仿宋_GB2312"/>
          <w:sz w:val="32"/>
          <w:szCs w:val="32"/>
          <w:lang w:val="en-US" w:eastAsia="zh-CN"/>
        </w:rPr>
      </w:pPr>
      <w:r>
        <w:rPr>
          <w:rFonts w:hint="eastAsia" w:ascii="仿宋_GB2312" w:eastAsia="仿宋_GB2312"/>
          <w:sz w:val="32"/>
          <w:szCs w:val="32"/>
          <w:lang w:val="en-US" w:eastAsia="zh-CN"/>
        </w:rPr>
        <w:t>1、效果性。</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eastAsia="仿宋_GB2312"/>
          <w:sz w:val="32"/>
          <w:szCs w:val="32"/>
          <w:lang w:val="en-US" w:eastAsia="zh-CN"/>
        </w:rPr>
      </w:pPr>
      <w:r>
        <w:rPr>
          <w:rFonts w:hint="eastAsia" w:ascii="仿宋_GB2312" w:eastAsia="仿宋_GB2312"/>
          <w:sz w:val="32"/>
          <w:szCs w:val="32"/>
          <w:lang w:val="en-US" w:eastAsia="zh-CN"/>
        </w:rPr>
        <w:t>根据评价资金实际情况，阐述其带来的效益和可持续发展等情况。</w:t>
      </w:r>
    </w:p>
    <w:p>
      <w:pPr>
        <w:keepNext w:val="0"/>
        <w:keepLines w:val="0"/>
        <w:pageBreakBefore w:val="0"/>
        <w:widowControl w:val="0"/>
        <w:numPr>
          <w:ilvl w:val="0"/>
          <w:numId w:val="1"/>
        </w:numPr>
        <w:kinsoku/>
        <w:wordWrap/>
        <w:overflowPunct/>
        <w:topLinePunct w:val="0"/>
        <w:autoSpaceDE/>
        <w:autoSpaceDN/>
        <w:bidi w:val="0"/>
        <w:adjustRightInd/>
        <w:snapToGrid/>
        <w:ind w:firstLine="640" w:firstLineChars="200"/>
        <w:textAlignment w:val="auto"/>
        <w:rPr>
          <w:rFonts w:hint="eastAsia" w:ascii="仿宋_GB2312" w:eastAsia="仿宋_GB2312"/>
          <w:sz w:val="32"/>
          <w:szCs w:val="32"/>
          <w:lang w:val="en-US" w:eastAsia="zh-CN"/>
        </w:rPr>
      </w:pPr>
      <w:r>
        <w:rPr>
          <w:rFonts w:hint="eastAsia" w:ascii="仿宋_GB2312" w:eastAsia="仿宋_GB2312"/>
          <w:sz w:val="32"/>
          <w:szCs w:val="32"/>
          <w:lang w:val="en-US" w:eastAsia="zh-CN"/>
        </w:rPr>
        <w:t>公平性。</w:t>
      </w:r>
    </w:p>
    <w:p>
      <w:pPr>
        <w:keepNext w:val="0"/>
        <w:keepLines w:val="0"/>
        <w:pageBreakBefore w:val="0"/>
        <w:widowControl w:val="0"/>
        <w:numPr>
          <w:ilvl w:val="0"/>
          <w:numId w:val="0"/>
        </w:numPr>
        <w:kinsoku/>
        <w:wordWrap/>
        <w:overflowPunct/>
        <w:topLinePunct w:val="0"/>
        <w:autoSpaceDE/>
        <w:autoSpaceDN/>
        <w:bidi w:val="0"/>
        <w:adjustRightInd/>
        <w:snapToGrid/>
        <w:ind w:firstLine="640"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五、主要绩效</w:t>
      </w:r>
    </w:p>
    <w:p>
      <w:pPr>
        <w:keepNext w:val="0"/>
        <w:keepLines w:val="0"/>
        <w:pageBreakBefore w:val="0"/>
        <w:widowControl w:val="0"/>
        <w:numPr>
          <w:ilvl w:val="0"/>
          <w:numId w:val="0"/>
        </w:numPr>
        <w:kinsoku/>
        <w:wordWrap/>
        <w:overflowPunct/>
        <w:topLinePunct w:val="0"/>
        <w:autoSpaceDE/>
        <w:autoSpaceDN/>
        <w:bidi w:val="0"/>
        <w:adjustRightInd/>
        <w:snapToGrid/>
        <w:ind w:firstLine="640" w:firstLineChars="200"/>
        <w:textAlignment w:val="auto"/>
        <w:rPr>
          <w:rFonts w:hint="eastAsia" w:ascii="黑体" w:hAnsi="黑体" w:eastAsia="黑体" w:cs="黑体"/>
          <w:sz w:val="32"/>
          <w:szCs w:val="32"/>
          <w:lang w:val="en-US" w:eastAsia="zh-CN"/>
        </w:rPr>
      </w:pPr>
      <w:r>
        <w:rPr>
          <w:rFonts w:hint="eastAsia" w:ascii="仿宋" w:hAnsi="仿宋" w:eastAsia="仿宋" w:cs="仿宋"/>
          <w:color w:val="auto"/>
          <w:kern w:val="2"/>
          <w:sz w:val="32"/>
          <w:szCs w:val="32"/>
          <w:highlight w:val="none"/>
          <w:shd w:val="clear" w:color="auto" w:fill="auto"/>
          <w:lang w:val="en-US" w:eastAsia="zh-CN" w:bidi="ar-SA"/>
        </w:rPr>
        <w:t>2021年，全市共发生事故44起、死亡40人、受伤24人，同比分别下降34.3%、31.0%和14.3%，直接经济损失2235.45 万元，同比上升73.7%；发生较大事故1起，造成3人死亡、3人受伤，较大事故起数和死亡人数分别同比下降50%、62.5%。全市安全生产形势总体平稳向好。</w:t>
      </w:r>
    </w:p>
    <w:p>
      <w:pPr>
        <w:keepNext w:val="0"/>
        <w:keepLines w:val="0"/>
        <w:pageBreakBefore w:val="0"/>
        <w:widowControl w:val="0"/>
        <w:numPr>
          <w:ilvl w:val="0"/>
          <w:numId w:val="0"/>
        </w:numPr>
        <w:kinsoku/>
        <w:wordWrap/>
        <w:overflowPunct/>
        <w:topLinePunct w:val="0"/>
        <w:autoSpaceDE/>
        <w:autoSpaceDN/>
        <w:bidi w:val="0"/>
        <w:adjustRightInd/>
        <w:snapToGrid/>
        <w:ind w:firstLine="640"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六、存在问题</w:t>
      </w:r>
    </w:p>
    <w:p>
      <w:pPr>
        <w:keepNext w:val="0"/>
        <w:keepLines w:val="0"/>
        <w:pageBreakBefore w:val="0"/>
        <w:widowControl w:val="0"/>
        <w:numPr>
          <w:ilvl w:val="0"/>
          <w:numId w:val="0"/>
        </w:numPr>
        <w:kinsoku/>
        <w:wordWrap/>
        <w:overflowPunct/>
        <w:topLinePunct w:val="0"/>
        <w:autoSpaceDE/>
        <w:autoSpaceDN/>
        <w:bidi w:val="0"/>
        <w:adjustRightInd/>
        <w:snapToGrid/>
        <w:ind w:firstLine="640" w:firstLineChars="200"/>
        <w:textAlignment w:val="auto"/>
        <w:rPr>
          <w:rFonts w:hint="default" w:ascii="黑体" w:hAnsi="黑体" w:eastAsia="黑体" w:cs="黑体"/>
          <w:sz w:val="32"/>
          <w:szCs w:val="32"/>
          <w:lang w:val="en-US" w:eastAsia="zh-CN"/>
        </w:rPr>
      </w:pPr>
      <w:r>
        <w:rPr>
          <w:rFonts w:hint="eastAsia" w:ascii="仿宋" w:hAnsi="仿宋" w:eastAsia="仿宋" w:cs="仿宋"/>
          <w:sz w:val="32"/>
          <w:szCs w:val="32"/>
          <w:lang w:val="en-US" w:eastAsia="zh-CN"/>
        </w:rPr>
        <w:t>对于资金项目内的细化项目，还有待继续完善，以达到更细致的预算目标。</w:t>
      </w:r>
    </w:p>
    <w:p>
      <w:pPr>
        <w:keepNext w:val="0"/>
        <w:keepLines w:val="0"/>
        <w:pageBreakBefore w:val="0"/>
        <w:widowControl w:val="0"/>
        <w:numPr>
          <w:ilvl w:val="0"/>
          <w:numId w:val="0"/>
        </w:numPr>
        <w:kinsoku/>
        <w:wordWrap/>
        <w:overflowPunct/>
        <w:topLinePunct w:val="0"/>
        <w:autoSpaceDE/>
        <w:autoSpaceDN/>
        <w:bidi w:val="0"/>
        <w:adjustRightInd/>
        <w:snapToGrid/>
        <w:ind w:firstLine="640"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七、下一步工作计划</w:t>
      </w:r>
    </w:p>
    <w:p>
      <w:pPr>
        <w:pStyle w:val="4"/>
        <w:spacing w:after="0" w:line="560" w:lineRule="exact"/>
        <w:ind w:firstLine="640" w:firstLineChars="200"/>
        <w:rPr>
          <w:rFonts w:ascii="仿宋_GB2312" w:eastAsia="仿宋_GB2312"/>
          <w:sz w:val="32"/>
          <w:szCs w:val="32"/>
        </w:rPr>
      </w:pPr>
      <w:r>
        <w:rPr>
          <w:rFonts w:hint="eastAsia" w:ascii="仿宋" w:hAnsi="仿宋" w:eastAsia="仿宋" w:cs="仿宋"/>
          <w:b w:val="0"/>
          <w:bCs w:val="0"/>
          <w:color w:val="auto"/>
          <w:kern w:val="2"/>
          <w:sz w:val="32"/>
          <w:szCs w:val="32"/>
          <w:highlight w:val="none"/>
          <w:lang w:val="en-US" w:eastAsia="zh-CN" w:bidi="ar-SA"/>
        </w:rPr>
        <w:t>一是毫不放松抓好安全生产工作</w:t>
      </w:r>
      <w:r>
        <w:rPr>
          <w:rFonts w:hint="eastAsia" w:ascii="仿宋" w:hAnsi="仿宋" w:eastAsia="仿宋" w:cs="仿宋"/>
          <w:color w:val="auto"/>
          <w:kern w:val="2"/>
          <w:sz w:val="32"/>
          <w:szCs w:val="32"/>
          <w:highlight w:val="none"/>
          <w:lang w:val="en-US" w:eastAsia="zh-CN" w:bidi="ar-SA"/>
        </w:rPr>
        <w:t>。</w:t>
      </w:r>
      <w:r>
        <w:rPr>
          <w:rFonts w:hint="eastAsia" w:ascii="仿宋" w:hAnsi="仿宋" w:eastAsia="仿宋" w:cs="仿宋"/>
          <w:color w:val="auto"/>
          <w:sz w:val="32"/>
          <w:szCs w:val="32"/>
          <w:highlight w:val="none"/>
        </w:rPr>
        <w:t>继续推进</w:t>
      </w:r>
      <w:r>
        <w:rPr>
          <w:rFonts w:hint="eastAsia" w:ascii="仿宋" w:hAnsi="仿宋" w:eastAsia="仿宋" w:cs="仿宋"/>
          <w:color w:val="auto"/>
          <w:kern w:val="0"/>
          <w:sz w:val="32"/>
          <w:szCs w:val="32"/>
          <w:highlight w:val="none"/>
          <w:shd w:val="clear" w:color="auto" w:fill="FFFFFF"/>
        </w:rPr>
        <w:t>七类重点行业领域专项整治，</w:t>
      </w:r>
      <w:r>
        <w:rPr>
          <w:rFonts w:hint="eastAsia" w:ascii="仿宋" w:hAnsi="仿宋" w:eastAsia="仿宋" w:cs="仿宋"/>
          <w:color w:val="auto"/>
          <w:sz w:val="32"/>
          <w:szCs w:val="32"/>
          <w:highlight w:val="none"/>
        </w:rPr>
        <w:t>推动企业健全全员安全生产责任制，统筹推进我市安全生产专项整治三年行动计划各项工作。</w:t>
      </w:r>
      <w:r>
        <w:rPr>
          <w:rFonts w:hint="eastAsia" w:ascii="仿宋" w:hAnsi="仿宋" w:eastAsia="仿宋" w:cs="仿宋"/>
          <w:color w:val="auto"/>
          <w:sz w:val="32"/>
          <w:szCs w:val="32"/>
          <w:highlight w:val="none"/>
          <w:lang w:eastAsia="zh-CN"/>
        </w:rPr>
        <w:t>二</w:t>
      </w:r>
      <w:r>
        <w:rPr>
          <w:rFonts w:hint="eastAsia" w:ascii="仿宋" w:hAnsi="仿宋" w:eastAsia="仿宋" w:cs="仿宋"/>
          <w:color w:val="auto"/>
          <w:sz w:val="32"/>
          <w:szCs w:val="32"/>
          <w:highlight w:val="none"/>
        </w:rPr>
        <w:t>是迅速推进新安全生产法宣贯工作。举办专题培训班，强化企业严守新安法意识，助推企业安全生产提质增效。</w:t>
      </w:r>
      <w:r>
        <w:rPr>
          <w:rFonts w:hint="eastAsia" w:ascii="仿宋" w:hAnsi="仿宋" w:eastAsia="仿宋" w:cs="仿宋"/>
          <w:color w:val="auto"/>
          <w:sz w:val="32"/>
          <w:szCs w:val="32"/>
          <w:highlight w:val="none"/>
          <w:lang w:eastAsia="zh-CN"/>
        </w:rPr>
        <w:t>三</w:t>
      </w:r>
      <w:r>
        <w:rPr>
          <w:rFonts w:hint="eastAsia" w:ascii="仿宋" w:hAnsi="仿宋" w:eastAsia="仿宋" w:cs="仿宋"/>
          <w:color w:val="auto"/>
          <w:sz w:val="32"/>
          <w:szCs w:val="32"/>
          <w:highlight w:val="none"/>
        </w:rPr>
        <w:t>是</w:t>
      </w:r>
      <w:r>
        <w:rPr>
          <w:rStyle w:val="12"/>
          <w:rFonts w:hint="eastAsia" w:ascii="仿宋" w:hAnsi="仿宋" w:eastAsia="仿宋" w:cs="仿宋"/>
          <w:color w:val="auto"/>
          <w:sz w:val="32"/>
          <w:szCs w:val="32"/>
          <w:highlight w:val="none"/>
        </w:rPr>
        <w:t>强力推进危险化学品安全专项整治。组织对危险化学品企业和化工园区实施精准化安全风险排查评估，分类建立完善安全风险数据库和信息管理系统。</w:t>
      </w:r>
      <w:r>
        <w:rPr>
          <w:rFonts w:hint="eastAsia" w:ascii="仿宋" w:hAnsi="仿宋" w:eastAsia="仿宋" w:cs="仿宋"/>
          <w:color w:val="auto"/>
          <w:sz w:val="32"/>
          <w:szCs w:val="32"/>
          <w:highlight w:val="none"/>
          <w:lang w:eastAsia="zh-CN"/>
        </w:rPr>
        <w:t>四</w:t>
      </w:r>
      <w:r>
        <w:rPr>
          <w:rFonts w:hint="eastAsia" w:ascii="仿宋" w:hAnsi="仿宋" w:eastAsia="仿宋" w:cs="仿宋"/>
          <w:color w:val="auto"/>
          <w:sz w:val="32"/>
          <w:szCs w:val="32"/>
          <w:highlight w:val="none"/>
        </w:rPr>
        <w:t>是坚决打赢自然灾害防治攻坚战。大力推进自然灾害风险第一次普查工作，坚持防汛抗旱两手抓，做好台风、暴雨、洪涝、地质灾害、森林火险等监测、预报、预警工作。</w:t>
      </w:r>
      <w:r>
        <w:rPr>
          <w:rFonts w:hint="eastAsia" w:ascii="仿宋" w:hAnsi="仿宋" w:eastAsia="仿宋" w:cs="仿宋"/>
          <w:color w:val="auto"/>
          <w:sz w:val="32"/>
          <w:szCs w:val="32"/>
          <w:highlight w:val="none"/>
          <w:lang w:eastAsia="zh-CN"/>
        </w:rPr>
        <w:t>五</w:t>
      </w:r>
      <w:r>
        <w:rPr>
          <w:rFonts w:hint="eastAsia" w:ascii="仿宋" w:hAnsi="仿宋" w:eastAsia="仿宋" w:cs="仿宋"/>
          <w:color w:val="auto"/>
          <w:sz w:val="32"/>
          <w:szCs w:val="32"/>
          <w:highlight w:val="none"/>
        </w:rPr>
        <w:t>是加强风险防范和信息化建设。健全</w:t>
      </w:r>
      <w:r>
        <w:rPr>
          <w:rFonts w:hint="eastAsia" w:ascii="仿宋" w:hAnsi="仿宋" w:eastAsia="仿宋" w:cs="仿宋"/>
          <w:color w:val="auto"/>
          <w:kern w:val="0"/>
          <w:sz w:val="32"/>
          <w:szCs w:val="32"/>
          <w:highlight w:val="none"/>
        </w:rPr>
        <w:t>安全风险排查、评估、预警、防范化解等机制，</w:t>
      </w:r>
      <w:r>
        <w:rPr>
          <w:rFonts w:hint="eastAsia" w:ascii="仿宋" w:hAnsi="仿宋" w:eastAsia="仿宋" w:cs="仿宋"/>
          <w:color w:val="auto"/>
          <w:sz w:val="32"/>
          <w:szCs w:val="32"/>
          <w:highlight w:val="none"/>
        </w:rPr>
        <w:t>加强应急管理信息化建设，重点解决极端情况下通信保障问题。</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Segoe UI"/>
    <w:panose1 w:val="020F0502020204030204"/>
    <w:charset w:val="00"/>
    <w:family w:val="swiss"/>
    <w:pitch w:val="default"/>
    <w:sig w:usb0="00000000" w:usb1="00000000" w:usb2="00000001" w:usb3="00000000" w:csb0="0000019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方正小标宋简体">
    <w:altName w:val="黑体"/>
    <w:panose1 w:val="03000509000000000000"/>
    <w:charset w:val="86"/>
    <w:family w:val="script"/>
    <w:pitch w:val="default"/>
    <w:sig w:usb0="00000000" w:usb1="00000000" w:usb2="00000000" w:usb3="00000000" w:csb0="00040000"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918387"/>
      <w:docPartObj>
        <w:docPartGallery w:val="autotext"/>
      </w:docPartObj>
    </w:sdtPr>
    <w:sdtContent>
      <w:p>
        <w:pPr>
          <w:pStyle w:val="5"/>
          <w:jc w:val="center"/>
        </w:pPr>
        <w:r>
          <w:fldChar w:fldCharType="begin"/>
        </w:r>
        <w:r>
          <w:instrText xml:space="preserve"> PAGE   \* MERGEFORMAT </w:instrText>
        </w:r>
        <w:r>
          <w:fldChar w:fldCharType="separate"/>
        </w:r>
        <w:r>
          <w:rPr>
            <w:lang w:val="zh-CN"/>
          </w:rPr>
          <w:t>1</w:t>
        </w:r>
        <w:r>
          <w:rPr>
            <w:lang w:val="zh-CN"/>
          </w:rPr>
          <w:fldChar w:fldCharType="end"/>
        </w:r>
      </w:p>
    </w:sdtContent>
  </w:sdt>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78FF3A"/>
    <w:multiLevelType w:val="singleLevel"/>
    <w:tmpl w:val="BF78FF3A"/>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MGU0YmEwMTU0YTU4YzFjMGEwMzgwZDExNjg1NTBiNWUifQ=="/>
  </w:docVars>
  <w:rsids>
    <w:rsidRoot w:val="004A3CAE"/>
    <w:rsid w:val="000164DB"/>
    <w:rsid w:val="001748CA"/>
    <w:rsid w:val="00357DD2"/>
    <w:rsid w:val="0043688A"/>
    <w:rsid w:val="004A3CAE"/>
    <w:rsid w:val="00595CED"/>
    <w:rsid w:val="005E1E1F"/>
    <w:rsid w:val="007C577C"/>
    <w:rsid w:val="00816D08"/>
    <w:rsid w:val="008B7982"/>
    <w:rsid w:val="008C241A"/>
    <w:rsid w:val="009A070B"/>
    <w:rsid w:val="00B158B1"/>
    <w:rsid w:val="00E52E19"/>
    <w:rsid w:val="00E85658"/>
    <w:rsid w:val="02750329"/>
    <w:rsid w:val="029562D6"/>
    <w:rsid w:val="03D270B5"/>
    <w:rsid w:val="04320522"/>
    <w:rsid w:val="060379FA"/>
    <w:rsid w:val="0B8B64C8"/>
    <w:rsid w:val="0C3C3C66"/>
    <w:rsid w:val="0D982BC4"/>
    <w:rsid w:val="0DED5218"/>
    <w:rsid w:val="115208CE"/>
    <w:rsid w:val="136748FF"/>
    <w:rsid w:val="14943E0F"/>
    <w:rsid w:val="17944956"/>
    <w:rsid w:val="17D019AD"/>
    <w:rsid w:val="17F04282"/>
    <w:rsid w:val="192261FF"/>
    <w:rsid w:val="1C406E5A"/>
    <w:rsid w:val="1D042AE0"/>
    <w:rsid w:val="1E2A7DC2"/>
    <w:rsid w:val="1FEB532F"/>
    <w:rsid w:val="20EC135F"/>
    <w:rsid w:val="221C5C74"/>
    <w:rsid w:val="22F8223D"/>
    <w:rsid w:val="241A2687"/>
    <w:rsid w:val="268A3AF4"/>
    <w:rsid w:val="29C15A7E"/>
    <w:rsid w:val="2AEE74B2"/>
    <w:rsid w:val="2C610E53"/>
    <w:rsid w:val="2FA15A0A"/>
    <w:rsid w:val="2FBE001C"/>
    <w:rsid w:val="307D6477"/>
    <w:rsid w:val="361824E1"/>
    <w:rsid w:val="37A4253C"/>
    <w:rsid w:val="38151F56"/>
    <w:rsid w:val="38185EF0"/>
    <w:rsid w:val="38392C84"/>
    <w:rsid w:val="38967DE0"/>
    <w:rsid w:val="3A1E0383"/>
    <w:rsid w:val="3B822B94"/>
    <w:rsid w:val="3C8F0832"/>
    <w:rsid w:val="3CD10645"/>
    <w:rsid w:val="3D0C4E0B"/>
    <w:rsid w:val="41DA6039"/>
    <w:rsid w:val="41F53E70"/>
    <w:rsid w:val="4465067B"/>
    <w:rsid w:val="446C5429"/>
    <w:rsid w:val="46EB449C"/>
    <w:rsid w:val="47264D1B"/>
    <w:rsid w:val="49A5461D"/>
    <w:rsid w:val="4AE32CB3"/>
    <w:rsid w:val="4B125CE2"/>
    <w:rsid w:val="4D186EB4"/>
    <w:rsid w:val="4D9B0FA1"/>
    <w:rsid w:val="4F781E8C"/>
    <w:rsid w:val="522046F9"/>
    <w:rsid w:val="54C17E31"/>
    <w:rsid w:val="54D656B3"/>
    <w:rsid w:val="559D5779"/>
    <w:rsid w:val="559E0172"/>
    <w:rsid w:val="56690780"/>
    <w:rsid w:val="56D227CA"/>
    <w:rsid w:val="57CF1AC2"/>
    <w:rsid w:val="5AB521E6"/>
    <w:rsid w:val="5AF745AD"/>
    <w:rsid w:val="5B730FDE"/>
    <w:rsid w:val="5E5A43BE"/>
    <w:rsid w:val="604E58CC"/>
    <w:rsid w:val="63116428"/>
    <w:rsid w:val="63BF47A2"/>
    <w:rsid w:val="65144D88"/>
    <w:rsid w:val="69661984"/>
    <w:rsid w:val="69813D45"/>
    <w:rsid w:val="6EFC7F8C"/>
    <w:rsid w:val="6F4D07E7"/>
    <w:rsid w:val="6F991C7F"/>
    <w:rsid w:val="704D28B2"/>
    <w:rsid w:val="70D2286C"/>
    <w:rsid w:val="711E19CD"/>
    <w:rsid w:val="72AF11C9"/>
    <w:rsid w:val="74B135C7"/>
    <w:rsid w:val="76A258BD"/>
    <w:rsid w:val="76C43C48"/>
    <w:rsid w:val="7725015D"/>
    <w:rsid w:val="77B946F7"/>
    <w:rsid w:val="7A2605B3"/>
    <w:rsid w:val="7A7C4677"/>
    <w:rsid w:val="7AB672B6"/>
    <w:rsid w:val="7AD74149"/>
    <w:rsid w:val="7B26259A"/>
    <w:rsid w:val="7DB55ED6"/>
    <w:rsid w:val="7DF30840"/>
    <w:rsid w:val="7E9118E0"/>
    <w:rsid w:val="7F6F6F41"/>
    <w:rsid w:val="7F857B2A"/>
    <w:rsid w:val="7FCC39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qFormat/>
    <w:uiPriority w:val="0"/>
    <w:pPr>
      <w:spacing w:before="100" w:beforeLines="0" w:beforeAutospacing="1" w:after="0" w:afterLines="0"/>
      <w:ind w:firstLine="420" w:firstLineChars="200"/>
    </w:pPr>
  </w:style>
  <w:style w:type="paragraph" w:styleId="3">
    <w:name w:val="Body Text Indent"/>
    <w:basedOn w:val="1"/>
    <w:qFormat/>
    <w:uiPriority w:val="0"/>
    <w:pPr>
      <w:spacing w:after="120" w:afterLines="0"/>
      <w:ind w:left="420" w:leftChars="200"/>
    </w:pPr>
  </w:style>
  <w:style w:type="paragraph" w:styleId="4">
    <w:name w:val="Body Text"/>
    <w:basedOn w:val="1"/>
    <w:next w:val="1"/>
    <w:unhideWhenUsed/>
    <w:qFormat/>
    <w:uiPriority w:val="99"/>
    <w:pPr>
      <w:spacing w:after="120" w:afterLines="0"/>
    </w:pPr>
  </w:style>
  <w:style w:type="paragraph" w:styleId="5">
    <w:name w:val="footer"/>
    <w:basedOn w:val="1"/>
    <w:link w:val="10"/>
    <w:unhideWhenUsed/>
    <w:qFormat/>
    <w:uiPriority w:val="99"/>
    <w:pPr>
      <w:tabs>
        <w:tab w:val="center" w:pos="4153"/>
        <w:tab w:val="right" w:pos="8306"/>
      </w:tabs>
      <w:snapToGrid w:val="0"/>
      <w:jc w:val="left"/>
    </w:pPr>
    <w:rPr>
      <w:sz w:val="18"/>
      <w:szCs w:val="18"/>
    </w:rPr>
  </w:style>
  <w:style w:type="paragraph" w:styleId="6">
    <w:name w:val="header"/>
    <w:basedOn w:val="1"/>
    <w:link w:val="9"/>
    <w:semiHidden/>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9">
    <w:name w:val="页眉 Char"/>
    <w:basedOn w:val="8"/>
    <w:link w:val="6"/>
    <w:semiHidden/>
    <w:uiPriority w:val="99"/>
    <w:rPr>
      <w:sz w:val="18"/>
      <w:szCs w:val="18"/>
    </w:rPr>
  </w:style>
  <w:style w:type="character" w:customStyle="1" w:styleId="10">
    <w:name w:val="页脚 Char"/>
    <w:basedOn w:val="8"/>
    <w:link w:val="5"/>
    <w:qFormat/>
    <w:uiPriority w:val="99"/>
    <w:rPr>
      <w:sz w:val="18"/>
      <w:szCs w:val="18"/>
    </w:rPr>
  </w:style>
  <w:style w:type="paragraph" w:styleId="11">
    <w:name w:val="List Paragraph"/>
    <w:basedOn w:val="1"/>
    <w:qFormat/>
    <w:uiPriority w:val="34"/>
    <w:pPr>
      <w:ind w:firstLine="420" w:firstLineChars="200"/>
    </w:pPr>
  </w:style>
  <w:style w:type="character" w:customStyle="1" w:styleId="12">
    <w:name w:val="15"/>
    <w:basedOn w:val="8"/>
    <w:qFormat/>
    <w:uiPriority w:val="0"/>
    <w:rPr>
      <w:rFonts w:hint="eastAsia" w:ascii="仿宋" w:hAnsi="仿宋" w:eastAsia="仿宋"/>
      <w:color w:val="000000"/>
      <w:sz w:val="32"/>
      <w:szCs w:val="32"/>
    </w:rPr>
  </w:style>
  <w:style w:type="paragraph" w:customStyle="1" w:styleId="13">
    <w:name w:val="Char Char Char Char Char Char Char Char"/>
    <w:basedOn w:val="1"/>
    <w:qFormat/>
    <w:uiPriority w:val="0"/>
    <w:pPr>
      <w:spacing w:line="360" w:lineRule="auto"/>
      <w:ind w:firstLine="200" w:firstLineChars="200"/>
    </w:pPr>
    <w:rPr>
      <w:rFonts w:ascii="Times New Roman" w:hAnsi="Times New Roman" w:eastAsia="宋体"/>
      <w:sz w:val="21"/>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3</Pages>
  <Words>325</Words>
  <Characters>330</Characters>
  <Lines>3</Lines>
  <Paragraphs>1</Paragraphs>
  <TotalTime>0</TotalTime>
  <ScaleCrop>false</ScaleCrop>
  <LinksUpToDate>false</LinksUpToDate>
  <CharactersWithSpaces>331</CharactersWithSpaces>
  <Application>WPS Office_11.1.0.10463_F1E327BC-269C-435d-A152-05C5408002CA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2019-07-17T09:23:00Z</dcterms:created>
  <dc:creator>lenovo</dc:creator>
  <cp:lastModifiedBy>王华海</cp:lastModifiedBy>
  <cp:lastPrinted>2022-05-19T02:47:00Z</cp:lastPrinted>
  <dcterms:modified xsi:type="dcterms:W3CDTF">2022-06-13T01:35:03Z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2052-11.1.0.10463</vt:lpwstr>
  </property>
  <property fmtid="{D5CDD505-2E9C-101B-9397-08002B2CF9AE}" pid="3" name="ICV">
    <vt:lpwstr>59676D7B60614A5F9808AB9B4E66904A</vt:lpwstr>
  </property>
</Properties>
</file>